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BE0F" w14:textId="77777777" w:rsidR="002B505E" w:rsidRPr="009405CE" w:rsidRDefault="002B505E" w:rsidP="002B505E">
      <w:pPr>
        <w:pStyle w:val="MainText"/>
        <w:spacing w:before="240" w:line="240" w:lineRule="auto"/>
        <w:rPr>
          <w:rFonts w:ascii="Arial" w:hAnsi="Arial" w:cs="Arial"/>
          <w:b/>
          <w:sz w:val="28"/>
          <w:szCs w:val="24"/>
        </w:rPr>
      </w:pPr>
      <w:r>
        <w:rPr>
          <w:rFonts w:ascii="Arial" w:hAnsi="Arial" w:cs="Arial"/>
          <w:b/>
          <w:sz w:val="28"/>
          <w:szCs w:val="28"/>
        </w:rPr>
        <w:t>Resources</w:t>
      </w:r>
      <w:r w:rsidRPr="00E03D49">
        <w:rPr>
          <w:rFonts w:ascii="Arial" w:hAnsi="Arial" w:cs="Arial"/>
          <w:b/>
          <w:sz w:val="28"/>
          <w:szCs w:val="28"/>
        </w:rPr>
        <w:t xml:space="preserve"> Board</w:t>
      </w:r>
      <w:r>
        <w:rPr>
          <w:rFonts w:ascii="Arial" w:hAnsi="Arial" w:cs="Arial"/>
          <w:b/>
          <w:sz w:val="28"/>
          <w:szCs w:val="24"/>
        </w:rPr>
        <w:t xml:space="preserve"> Priorities and Work Programme</w:t>
      </w: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9405CE" w:rsidRDefault="00BD6D6E" w:rsidP="00BD6D6E">
      <w:pPr>
        <w:pStyle w:val="MainText"/>
        <w:spacing w:line="240" w:lineRule="auto"/>
        <w:rPr>
          <w:rFonts w:ascii="Arial" w:hAnsi="Arial" w:cs="Arial"/>
          <w:b/>
          <w:szCs w:val="22"/>
        </w:rPr>
      </w:pPr>
      <w:r w:rsidRPr="009405CE">
        <w:rPr>
          <w:rFonts w:ascii="Arial" w:hAnsi="Arial" w:cs="Arial"/>
          <w:b/>
          <w:szCs w:val="22"/>
        </w:rPr>
        <w:t>Purpose</w:t>
      </w:r>
    </w:p>
    <w:p w14:paraId="0B19EA11" w14:textId="77777777" w:rsidR="00BD6D6E" w:rsidRPr="009405CE" w:rsidRDefault="00BD6D6E" w:rsidP="00BD6D6E">
      <w:pPr>
        <w:pStyle w:val="MainText"/>
        <w:spacing w:line="240" w:lineRule="auto"/>
        <w:rPr>
          <w:rFonts w:ascii="Arial" w:hAnsi="Arial" w:cs="Arial"/>
          <w:szCs w:val="22"/>
        </w:rPr>
      </w:pPr>
    </w:p>
    <w:p w14:paraId="0B19EA12"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szCs w:val="22"/>
        </w:rPr>
        <w:t>For discussion and agreement.</w:t>
      </w:r>
    </w:p>
    <w:p w14:paraId="0B19EA13" w14:textId="77777777" w:rsidR="00BD6D6E" w:rsidRPr="009405CE" w:rsidRDefault="00BD6D6E" w:rsidP="00BD6D6E">
      <w:pPr>
        <w:pStyle w:val="MainText"/>
        <w:spacing w:line="240" w:lineRule="auto"/>
        <w:rPr>
          <w:rFonts w:ascii="Arial" w:hAnsi="Arial" w:cs="Arial"/>
          <w:b/>
          <w:szCs w:val="22"/>
        </w:rPr>
      </w:pPr>
    </w:p>
    <w:p w14:paraId="0B19EA14"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b/>
          <w:szCs w:val="22"/>
        </w:rPr>
        <w:t>Summary</w:t>
      </w:r>
    </w:p>
    <w:p w14:paraId="0B19EA15" w14:textId="77777777" w:rsidR="00BD6D6E" w:rsidRPr="009405CE" w:rsidRDefault="00BD6D6E" w:rsidP="00BD6D6E">
      <w:pPr>
        <w:pStyle w:val="MainText"/>
        <w:spacing w:line="240" w:lineRule="auto"/>
        <w:rPr>
          <w:rFonts w:ascii="Arial" w:hAnsi="Arial" w:cs="Arial"/>
          <w:szCs w:val="22"/>
        </w:rPr>
      </w:pPr>
    </w:p>
    <w:p w14:paraId="0B19EA16" w14:textId="057F8771" w:rsidR="00BD6D6E" w:rsidRDefault="00BD6D6E" w:rsidP="00BD6D6E">
      <w:pPr>
        <w:pStyle w:val="MainText"/>
        <w:spacing w:line="240" w:lineRule="auto"/>
        <w:rPr>
          <w:rFonts w:ascii="Arial" w:hAnsi="Arial" w:cs="Arial"/>
          <w:szCs w:val="22"/>
        </w:rPr>
      </w:pPr>
      <w:r w:rsidRPr="009405CE">
        <w:rPr>
          <w:rFonts w:ascii="Arial" w:hAnsi="Arial" w:cs="Arial"/>
          <w:szCs w:val="22"/>
        </w:rPr>
        <w:t xml:space="preserve">This report </w:t>
      </w:r>
      <w:r w:rsidR="008B4F92">
        <w:rPr>
          <w:rFonts w:ascii="Arial" w:hAnsi="Arial" w:cs="Arial"/>
          <w:szCs w:val="22"/>
        </w:rPr>
        <w:t xml:space="preserve">outlines </w:t>
      </w:r>
      <w:r>
        <w:rPr>
          <w:rFonts w:ascii="Arial" w:hAnsi="Arial" w:cs="Arial"/>
          <w:szCs w:val="22"/>
        </w:rPr>
        <w:t xml:space="preserve">proposals for the Board’s </w:t>
      </w:r>
      <w:r w:rsidRPr="009405CE">
        <w:rPr>
          <w:rFonts w:ascii="Arial" w:hAnsi="Arial" w:cs="Arial"/>
          <w:szCs w:val="22"/>
        </w:rPr>
        <w:t>pri</w:t>
      </w:r>
      <w:r w:rsidR="009C0C45">
        <w:rPr>
          <w:rFonts w:ascii="Arial" w:hAnsi="Arial" w:cs="Arial"/>
          <w:szCs w:val="22"/>
        </w:rPr>
        <w:t>orities and key areas of work</w:t>
      </w:r>
      <w:r>
        <w:rPr>
          <w:rFonts w:ascii="Arial" w:hAnsi="Arial" w:cs="Arial"/>
          <w:szCs w:val="22"/>
        </w:rPr>
        <w:t>, set against the available resources</w:t>
      </w:r>
      <w:r w:rsidRPr="009405CE">
        <w:rPr>
          <w:rFonts w:ascii="Arial" w:hAnsi="Arial" w:cs="Arial"/>
          <w:szCs w:val="22"/>
        </w:rPr>
        <w:t xml:space="preserve">.  </w:t>
      </w:r>
      <w:r>
        <w:rPr>
          <w:rFonts w:ascii="Arial" w:hAnsi="Arial" w:cs="Arial"/>
          <w:szCs w:val="22"/>
        </w:rPr>
        <w:t xml:space="preserve">  </w:t>
      </w:r>
    </w:p>
    <w:p w14:paraId="0B19EA18" w14:textId="77777777" w:rsidR="00BD6D6E" w:rsidRPr="009405C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9405CE" w14:paraId="0B19EA21" w14:textId="77777777">
        <w:trPr>
          <w:trHeight w:val="2494"/>
        </w:trPr>
        <w:tc>
          <w:tcPr>
            <w:tcW w:w="9157" w:type="dxa"/>
          </w:tcPr>
          <w:p w14:paraId="0B19EA19" w14:textId="4A1FDB34" w:rsidR="00BD6D6E" w:rsidRPr="009405CE" w:rsidRDefault="00BD6D6E" w:rsidP="00E96526">
            <w:pPr>
              <w:pStyle w:val="MainText"/>
              <w:spacing w:line="240" w:lineRule="auto"/>
              <w:rPr>
                <w:rFonts w:ascii="Arial" w:hAnsi="Arial" w:cs="Arial"/>
                <w:b/>
                <w:szCs w:val="22"/>
              </w:rPr>
            </w:pPr>
          </w:p>
          <w:p w14:paraId="0B19EA1A" w14:textId="6D1E1390" w:rsidR="00BD6D6E" w:rsidRPr="009405CE" w:rsidRDefault="00BD6D6E" w:rsidP="00E96526">
            <w:pPr>
              <w:pStyle w:val="MainText"/>
              <w:tabs>
                <w:tab w:val="left" w:pos="3045"/>
              </w:tabs>
              <w:spacing w:line="240" w:lineRule="auto"/>
              <w:rPr>
                <w:rFonts w:ascii="Arial" w:hAnsi="Arial" w:cs="Arial"/>
                <w:b/>
                <w:szCs w:val="22"/>
              </w:rPr>
            </w:pPr>
            <w:r w:rsidRPr="009405CE">
              <w:rPr>
                <w:rFonts w:ascii="Arial" w:hAnsi="Arial" w:cs="Arial"/>
                <w:b/>
                <w:szCs w:val="22"/>
              </w:rPr>
              <w:t>Recommendation</w:t>
            </w:r>
            <w:r w:rsidR="00ED30F1">
              <w:rPr>
                <w:rFonts w:ascii="Arial" w:hAnsi="Arial" w:cs="Arial"/>
                <w:b/>
                <w:szCs w:val="22"/>
              </w:rPr>
              <w:t>s</w:t>
            </w:r>
          </w:p>
          <w:p w14:paraId="0B19EA1B" w14:textId="77777777" w:rsidR="00BD6D6E" w:rsidRPr="009405CE" w:rsidRDefault="00BD6D6E" w:rsidP="00E96526">
            <w:pPr>
              <w:pStyle w:val="MainText"/>
              <w:tabs>
                <w:tab w:val="left" w:pos="3045"/>
              </w:tabs>
              <w:spacing w:line="240" w:lineRule="auto"/>
              <w:rPr>
                <w:rFonts w:ascii="Arial" w:hAnsi="Arial" w:cs="Arial"/>
                <w:b/>
                <w:szCs w:val="22"/>
              </w:rPr>
            </w:pPr>
          </w:p>
          <w:p w14:paraId="57D1741D" w14:textId="0AB55ACD" w:rsidR="00752BF0" w:rsidRDefault="00BD6D6E" w:rsidP="00E96526">
            <w:pPr>
              <w:pStyle w:val="MainText"/>
              <w:spacing w:line="240" w:lineRule="auto"/>
              <w:rPr>
                <w:rFonts w:ascii="Arial" w:hAnsi="Arial" w:cs="Arial"/>
                <w:szCs w:val="22"/>
              </w:rPr>
            </w:pPr>
            <w:r w:rsidRPr="009405CE">
              <w:rPr>
                <w:rFonts w:ascii="Arial" w:hAnsi="Arial" w:cs="Arial"/>
                <w:szCs w:val="22"/>
              </w:rPr>
              <w:t xml:space="preserve">That </w:t>
            </w:r>
            <w:r>
              <w:rPr>
                <w:rFonts w:ascii="Arial" w:hAnsi="Arial" w:cs="Arial"/>
                <w:szCs w:val="22"/>
              </w:rPr>
              <w:t>the Board</w:t>
            </w:r>
            <w:r w:rsidR="00752BF0">
              <w:rPr>
                <w:rFonts w:ascii="Arial" w:hAnsi="Arial" w:cs="Arial"/>
                <w:szCs w:val="22"/>
              </w:rPr>
              <w:t xml:space="preserve">: </w:t>
            </w:r>
          </w:p>
          <w:p w14:paraId="224876BE" w14:textId="77777777" w:rsidR="00752BF0" w:rsidRDefault="00752BF0" w:rsidP="00E96526">
            <w:pPr>
              <w:pStyle w:val="MainText"/>
              <w:spacing w:line="240" w:lineRule="auto"/>
              <w:rPr>
                <w:rFonts w:ascii="Arial" w:hAnsi="Arial" w:cs="Arial"/>
                <w:szCs w:val="22"/>
              </w:rPr>
            </w:pPr>
          </w:p>
          <w:p w14:paraId="3C41BD0C" w14:textId="77777777" w:rsidR="00E53993" w:rsidRDefault="008E67AB" w:rsidP="00E96526">
            <w:pPr>
              <w:pStyle w:val="MainText"/>
              <w:numPr>
                <w:ilvl w:val="0"/>
                <w:numId w:val="6"/>
              </w:numPr>
              <w:spacing w:line="240" w:lineRule="auto"/>
              <w:rPr>
                <w:rFonts w:ascii="Arial" w:hAnsi="Arial" w:cs="Arial"/>
                <w:szCs w:val="22"/>
              </w:rPr>
            </w:pPr>
            <w:r>
              <w:rPr>
                <w:rFonts w:ascii="Arial" w:hAnsi="Arial" w:cs="Arial"/>
                <w:szCs w:val="22"/>
              </w:rPr>
              <w:t>agree</w:t>
            </w:r>
            <w:r w:rsidR="00D55D5A">
              <w:rPr>
                <w:rFonts w:ascii="Arial" w:hAnsi="Arial" w:cs="Arial"/>
                <w:szCs w:val="22"/>
              </w:rPr>
              <w:t xml:space="preserve"> </w:t>
            </w:r>
            <w:r w:rsidR="00BD6D6E" w:rsidRPr="00752BF0">
              <w:rPr>
                <w:rFonts w:ascii="Arial" w:hAnsi="Arial" w:cs="Arial"/>
                <w:szCs w:val="22"/>
              </w:rPr>
              <w:t>its priorities and work programme for the 201</w:t>
            </w:r>
            <w:r w:rsidR="00B5179F">
              <w:rPr>
                <w:rFonts w:ascii="Arial" w:hAnsi="Arial" w:cs="Arial"/>
                <w:szCs w:val="22"/>
              </w:rPr>
              <w:t>6</w:t>
            </w:r>
            <w:r w:rsidR="008B4F92" w:rsidRPr="00752BF0">
              <w:rPr>
                <w:rFonts w:ascii="Arial" w:hAnsi="Arial" w:cs="Arial"/>
                <w:szCs w:val="22"/>
              </w:rPr>
              <w:t>/1</w:t>
            </w:r>
            <w:r w:rsidR="00B5179F">
              <w:rPr>
                <w:rFonts w:ascii="Arial" w:hAnsi="Arial" w:cs="Arial"/>
                <w:szCs w:val="22"/>
              </w:rPr>
              <w:t>7</w:t>
            </w:r>
            <w:r w:rsidR="00BD6D6E" w:rsidRPr="00752BF0">
              <w:rPr>
                <w:rFonts w:ascii="Arial" w:hAnsi="Arial" w:cs="Arial"/>
                <w:szCs w:val="22"/>
              </w:rPr>
              <w:t xml:space="preserve"> meeting cycle</w:t>
            </w:r>
            <w:r w:rsidR="00752BF0">
              <w:rPr>
                <w:rFonts w:ascii="Arial" w:hAnsi="Arial" w:cs="Arial"/>
                <w:szCs w:val="22"/>
              </w:rPr>
              <w:t>;</w:t>
            </w:r>
          </w:p>
          <w:p w14:paraId="3EEE7E46" w14:textId="77777777" w:rsidR="00752BF0" w:rsidRDefault="00752BF0" w:rsidP="00752BF0">
            <w:pPr>
              <w:pStyle w:val="MainText"/>
              <w:spacing w:line="240" w:lineRule="auto"/>
              <w:ind w:left="720"/>
              <w:rPr>
                <w:rFonts w:ascii="Arial" w:hAnsi="Arial" w:cs="Arial"/>
                <w:szCs w:val="22"/>
              </w:rPr>
            </w:pPr>
          </w:p>
          <w:p w14:paraId="0B19EA1C" w14:textId="69A67CE6" w:rsidR="00BD6D6E" w:rsidRPr="00752BF0" w:rsidRDefault="009C0C45" w:rsidP="00E96526">
            <w:pPr>
              <w:pStyle w:val="MainText"/>
              <w:numPr>
                <w:ilvl w:val="0"/>
                <w:numId w:val="6"/>
              </w:numPr>
              <w:spacing w:line="240" w:lineRule="auto"/>
              <w:rPr>
                <w:rFonts w:ascii="Arial" w:hAnsi="Arial" w:cs="Arial"/>
                <w:szCs w:val="22"/>
              </w:rPr>
            </w:pPr>
            <w:r>
              <w:rPr>
                <w:rFonts w:ascii="Arial" w:hAnsi="Arial" w:cs="Arial"/>
                <w:szCs w:val="22"/>
              </w:rPr>
              <w:t xml:space="preserve">notes its </w:t>
            </w:r>
            <w:r w:rsidR="00547310">
              <w:rPr>
                <w:rFonts w:ascii="Arial" w:hAnsi="Arial" w:cs="Arial"/>
                <w:szCs w:val="22"/>
              </w:rPr>
              <w:t xml:space="preserve">Member Champions </w:t>
            </w:r>
            <w:r>
              <w:rPr>
                <w:rFonts w:ascii="Arial" w:hAnsi="Arial" w:cs="Arial"/>
                <w:szCs w:val="22"/>
              </w:rPr>
              <w:t>for 201</w:t>
            </w:r>
            <w:r w:rsidR="00B5179F">
              <w:rPr>
                <w:rFonts w:ascii="Arial" w:hAnsi="Arial" w:cs="Arial"/>
                <w:szCs w:val="22"/>
              </w:rPr>
              <w:t>6</w:t>
            </w:r>
            <w:r>
              <w:rPr>
                <w:rFonts w:ascii="Arial" w:hAnsi="Arial" w:cs="Arial"/>
                <w:szCs w:val="22"/>
              </w:rPr>
              <w:t>/1</w:t>
            </w:r>
            <w:r w:rsidR="00B5179F">
              <w:rPr>
                <w:rFonts w:ascii="Arial" w:hAnsi="Arial" w:cs="Arial"/>
                <w:szCs w:val="22"/>
              </w:rPr>
              <w:t>7</w:t>
            </w:r>
            <w:r>
              <w:rPr>
                <w:rFonts w:ascii="Arial" w:hAnsi="Arial" w:cs="Arial"/>
                <w:szCs w:val="22"/>
              </w:rPr>
              <w:t>.</w:t>
            </w:r>
            <w:r w:rsidR="00752BF0">
              <w:rPr>
                <w:rFonts w:ascii="Arial" w:hAnsi="Arial" w:cs="Arial"/>
                <w:szCs w:val="22"/>
              </w:rPr>
              <w:t xml:space="preserve"> </w:t>
            </w:r>
          </w:p>
          <w:p w14:paraId="0B19EA1D" w14:textId="77777777" w:rsidR="00BD6D6E" w:rsidRPr="009405CE" w:rsidRDefault="00BD6D6E" w:rsidP="00E96526">
            <w:pPr>
              <w:pStyle w:val="MainText"/>
              <w:spacing w:line="240" w:lineRule="auto"/>
              <w:rPr>
                <w:rFonts w:ascii="Arial" w:hAnsi="Arial" w:cs="Arial"/>
                <w:szCs w:val="22"/>
              </w:rPr>
            </w:pPr>
          </w:p>
          <w:p w14:paraId="0B19EA1E" w14:textId="77777777" w:rsidR="00BD6D6E" w:rsidRDefault="00BD6D6E" w:rsidP="00E96526">
            <w:pPr>
              <w:pStyle w:val="MainText"/>
              <w:spacing w:line="240" w:lineRule="auto"/>
              <w:rPr>
                <w:rFonts w:ascii="Arial" w:hAnsi="Arial" w:cs="Arial"/>
                <w:b/>
                <w:szCs w:val="22"/>
              </w:rPr>
            </w:pPr>
            <w:r w:rsidRPr="009405CE">
              <w:rPr>
                <w:rFonts w:ascii="Arial" w:hAnsi="Arial" w:cs="Arial"/>
                <w:b/>
                <w:szCs w:val="22"/>
              </w:rPr>
              <w:t>Action</w:t>
            </w:r>
          </w:p>
          <w:p w14:paraId="0B19EA1F" w14:textId="4EC38662" w:rsidR="00BD6D6E" w:rsidRPr="009405CE" w:rsidRDefault="00BD6D6E" w:rsidP="00E96526">
            <w:pPr>
              <w:pStyle w:val="MainText"/>
              <w:spacing w:line="240" w:lineRule="auto"/>
              <w:rPr>
                <w:rFonts w:ascii="Arial" w:hAnsi="Arial" w:cs="Arial"/>
                <w:b/>
                <w:szCs w:val="22"/>
              </w:rPr>
            </w:pPr>
          </w:p>
          <w:p w14:paraId="5E6F176C" w14:textId="6C54C47B" w:rsidR="00BD6D6E" w:rsidRDefault="009C0C45" w:rsidP="00E96526">
            <w:pPr>
              <w:pStyle w:val="MainText"/>
              <w:spacing w:line="240" w:lineRule="auto"/>
              <w:rPr>
                <w:rFonts w:ascii="Arial" w:hAnsi="Arial" w:cs="Arial"/>
                <w:szCs w:val="22"/>
              </w:rPr>
            </w:pPr>
            <w:r>
              <w:rPr>
                <w:rFonts w:ascii="Arial" w:hAnsi="Arial" w:cs="Arial"/>
                <w:szCs w:val="22"/>
              </w:rPr>
              <w:t>O</w:t>
            </w:r>
            <w:r w:rsidR="00BD6D6E" w:rsidRPr="00FB0E20">
              <w:rPr>
                <w:rFonts w:ascii="Arial" w:hAnsi="Arial" w:cs="Arial"/>
                <w:szCs w:val="22"/>
              </w:rPr>
              <w:t xml:space="preserve">fficers to </w:t>
            </w:r>
            <w:r w:rsidR="00BD6D6E">
              <w:rPr>
                <w:rFonts w:ascii="Arial" w:hAnsi="Arial" w:cs="Arial"/>
                <w:szCs w:val="22"/>
              </w:rPr>
              <w:t>progress the Board’s agreed priorities and projects in line with available resources.</w:t>
            </w:r>
          </w:p>
          <w:p w14:paraId="0B19EA20" w14:textId="77777777" w:rsidR="00752BF0" w:rsidRPr="009405CE" w:rsidRDefault="00752BF0" w:rsidP="00E96526">
            <w:pPr>
              <w:pStyle w:val="MainText"/>
              <w:spacing w:line="240" w:lineRule="auto"/>
              <w:rPr>
                <w:rFonts w:ascii="Arial" w:hAnsi="Arial" w:cs="Arial"/>
                <w:szCs w:val="22"/>
              </w:rPr>
            </w:pPr>
          </w:p>
        </w:tc>
      </w:tr>
    </w:tbl>
    <w:p w14:paraId="0B19EA22" w14:textId="77777777" w:rsidR="00C510DC" w:rsidRPr="00C510DC" w:rsidRDefault="00C510DC" w:rsidP="00C510DC">
      <w:pPr>
        <w:rPr>
          <w:rFonts w:ascii="Arial" w:hAnsi="Arial" w:cs="Arial"/>
          <w:b/>
          <w:sz w:val="22"/>
          <w:szCs w:val="22"/>
        </w:rPr>
      </w:pPr>
    </w:p>
    <w:p w14:paraId="0B19EA23" w14:textId="77777777" w:rsidR="00C510DC" w:rsidRPr="00C510DC" w:rsidRDefault="00C510DC" w:rsidP="00C510DC">
      <w:pPr>
        <w:rPr>
          <w:rFonts w:ascii="Arial" w:hAnsi="Arial" w:cs="Arial"/>
          <w:b/>
          <w:sz w:val="22"/>
          <w:szCs w:val="22"/>
        </w:rPr>
      </w:pPr>
    </w:p>
    <w:tbl>
      <w:tblPr>
        <w:tblpPr w:leftFromText="180" w:rightFromText="180" w:vertAnchor="text" w:horzAnchor="margin" w:tblpY="6"/>
        <w:tblW w:w="0" w:type="auto"/>
        <w:tblLook w:val="01E0" w:firstRow="1" w:lastRow="1" w:firstColumn="1" w:lastColumn="1" w:noHBand="0" w:noVBand="0"/>
      </w:tblPr>
      <w:tblGrid>
        <w:gridCol w:w="2767"/>
        <w:gridCol w:w="6303"/>
      </w:tblGrid>
      <w:tr w:rsidR="00C510DC" w:rsidRPr="00C510DC" w14:paraId="0B19EA26" w14:textId="77777777">
        <w:tc>
          <w:tcPr>
            <w:tcW w:w="2802" w:type="dxa"/>
            <w:shd w:val="clear" w:color="auto" w:fill="auto"/>
          </w:tcPr>
          <w:p w14:paraId="0B19EA24" w14:textId="77777777" w:rsidR="00C510DC" w:rsidRPr="00C510DC" w:rsidRDefault="00C510DC" w:rsidP="00C510DC">
            <w:pPr>
              <w:spacing w:after="120"/>
              <w:rPr>
                <w:rFonts w:ascii="Arial" w:hAnsi="Arial" w:cs="Arial"/>
                <w:sz w:val="22"/>
                <w:szCs w:val="22"/>
              </w:rPr>
            </w:pPr>
            <w:r w:rsidRPr="00C510DC">
              <w:rPr>
                <w:rFonts w:ascii="Arial" w:hAnsi="Arial" w:cs="Arial"/>
                <w:b/>
                <w:sz w:val="22"/>
                <w:szCs w:val="22"/>
              </w:rPr>
              <w:t>Contact officers:</w:t>
            </w:r>
            <w:r w:rsidRPr="00C510DC">
              <w:rPr>
                <w:rFonts w:ascii="Arial" w:hAnsi="Arial" w:cs="Arial"/>
                <w:sz w:val="22"/>
                <w:szCs w:val="22"/>
              </w:rPr>
              <w:t xml:space="preserve">  </w:t>
            </w:r>
          </w:p>
        </w:tc>
        <w:tc>
          <w:tcPr>
            <w:tcW w:w="6378" w:type="dxa"/>
            <w:shd w:val="clear" w:color="auto" w:fill="auto"/>
          </w:tcPr>
          <w:p w14:paraId="0B19EA25" w14:textId="5422BDFC" w:rsidR="00C510DC" w:rsidRPr="00C510DC" w:rsidRDefault="00B5179F" w:rsidP="00B5179F">
            <w:pPr>
              <w:spacing w:after="120"/>
              <w:rPr>
                <w:rFonts w:ascii="Arial" w:hAnsi="Arial" w:cs="Arial"/>
                <w:sz w:val="22"/>
                <w:szCs w:val="22"/>
              </w:rPr>
            </w:pPr>
            <w:r>
              <w:rPr>
                <w:rFonts w:ascii="Arial" w:hAnsi="Arial" w:cs="Arial"/>
                <w:sz w:val="22"/>
                <w:szCs w:val="22"/>
              </w:rPr>
              <w:t>Sarah Pickup</w:t>
            </w:r>
          </w:p>
        </w:tc>
      </w:tr>
      <w:tr w:rsidR="00C510DC" w:rsidRPr="00C510DC" w14:paraId="0B19EA29" w14:textId="77777777">
        <w:tc>
          <w:tcPr>
            <w:tcW w:w="2802" w:type="dxa"/>
            <w:shd w:val="clear" w:color="auto" w:fill="auto"/>
          </w:tcPr>
          <w:p w14:paraId="0B19EA27"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Position:</w:t>
            </w:r>
          </w:p>
        </w:tc>
        <w:tc>
          <w:tcPr>
            <w:tcW w:w="6378" w:type="dxa"/>
            <w:shd w:val="clear" w:color="auto" w:fill="auto"/>
          </w:tcPr>
          <w:p w14:paraId="0B19EA28" w14:textId="025E0E95" w:rsidR="00C510DC" w:rsidRPr="00C510DC" w:rsidRDefault="00B5179F" w:rsidP="00B5179F">
            <w:pPr>
              <w:rPr>
                <w:rFonts w:ascii="Arial" w:hAnsi="Arial" w:cs="Arial"/>
                <w:sz w:val="22"/>
                <w:szCs w:val="22"/>
              </w:rPr>
            </w:pPr>
            <w:r>
              <w:rPr>
                <w:rFonts w:ascii="Arial" w:hAnsi="Arial" w:cs="Arial"/>
                <w:sz w:val="22"/>
                <w:szCs w:val="22"/>
              </w:rPr>
              <w:t xml:space="preserve">Deputy Chief </w:t>
            </w:r>
            <w:r w:rsidR="0083549C">
              <w:rPr>
                <w:rFonts w:ascii="Arial" w:hAnsi="Arial" w:cs="Arial"/>
                <w:sz w:val="22"/>
                <w:szCs w:val="22"/>
              </w:rPr>
              <w:t>Executive</w:t>
            </w:r>
            <w:r w:rsidR="00ED30F1">
              <w:rPr>
                <w:rFonts w:ascii="Arial" w:hAnsi="Arial" w:cs="Arial"/>
                <w:sz w:val="22"/>
                <w:szCs w:val="22"/>
              </w:rPr>
              <w:t xml:space="preserve"> </w:t>
            </w:r>
            <w:r w:rsidR="00C510DC" w:rsidRPr="00C510DC">
              <w:rPr>
                <w:rFonts w:ascii="Arial" w:hAnsi="Arial" w:cs="Arial"/>
                <w:sz w:val="22"/>
                <w:szCs w:val="22"/>
              </w:rPr>
              <w:t xml:space="preserve"> </w:t>
            </w:r>
          </w:p>
        </w:tc>
      </w:tr>
      <w:tr w:rsidR="00C510DC" w:rsidRPr="00C510DC" w14:paraId="0B19EA2C" w14:textId="77777777">
        <w:tc>
          <w:tcPr>
            <w:tcW w:w="2802" w:type="dxa"/>
            <w:shd w:val="clear" w:color="auto" w:fill="auto"/>
          </w:tcPr>
          <w:p w14:paraId="0B19EA2A"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Phone no:</w:t>
            </w:r>
          </w:p>
        </w:tc>
        <w:tc>
          <w:tcPr>
            <w:tcW w:w="6378" w:type="dxa"/>
            <w:shd w:val="clear" w:color="auto" w:fill="auto"/>
          </w:tcPr>
          <w:p w14:paraId="0B19EA2B" w14:textId="787C2C7C" w:rsidR="00C510DC" w:rsidRPr="00C510DC" w:rsidRDefault="0083549C" w:rsidP="00B5179F">
            <w:pPr>
              <w:spacing w:after="120"/>
              <w:rPr>
                <w:rFonts w:ascii="Arial" w:hAnsi="Arial" w:cs="Arial"/>
                <w:sz w:val="22"/>
                <w:szCs w:val="22"/>
              </w:rPr>
            </w:pPr>
            <w:r>
              <w:rPr>
                <w:rFonts w:ascii="Arial" w:hAnsi="Arial" w:cs="Arial"/>
                <w:sz w:val="22"/>
                <w:szCs w:val="22"/>
              </w:rPr>
              <w:t>0207 664 3109</w:t>
            </w:r>
          </w:p>
        </w:tc>
      </w:tr>
      <w:tr w:rsidR="00C510DC" w:rsidRPr="00C510DC" w14:paraId="0B19EA2F" w14:textId="77777777">
        <w:tc>
          <w:tcPr>
            <w:tcW w:w="2802" w:type="dxa"/>
            <w:shd w:val="clear" w:color="auto" w:fill="auto"/>
          </w:tcPr>
          <w:p w14:paraId="0B19EA2D"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E-mail:</w:t>
            </w:r>
          </w:p>
        </w:tc>
        <w:tc>
          <w:tcPr>
            <w:tcW w:w="6378" w:type="dxa"/>
            <w:shd w:val="clear" w:color="auto" w:fill="auto"/>
          </w:tcPr>
          <w:p w14:paraId="0B19EA2E" w14:textId="09C9D536" w:rsidR="00C510DC" w:rsidRPr="00C510DC" w:rsidRDefault="001F036B" w:rsidP="00B5179F">
            <w:pPr>
              <w:spacing w:after="120"/>
              <w:rPr>
                <w:rFonts w:ascii="Arial" w:hAnsi="Arial" w:cs="Arial"/>
                <w:sz w:val="22"/>
                <w:szCs w:val="22"/>
              </w:rPr>
            </w:pPr>
            <w:hyperlink r:id="rId11" w:history="1">
              <w:r w:rsidR="00B5179F" w:rsidRPr="006D56A9">
                <w:rPr>
                  <w:rStyle w:val="Hyperlink"/>
                  <w:rFonts w:ascii="Arial" w:hAnsi="Arial" w:cs="Arial"/>
                  <w:sz w:val="22"/>
                  <w:szCs w:val="22"/>
                </w:rPr>
                <w:t>Sarah.Pickup@local.gov.uk</w:t>
              </w:r>
            </w:hyperlink>
            <w:r w:rsidR="00C510DC" w:rsidRPr="00C510DC">
              <w:rPr>
                <w:rFonts w:ascii="Arial" w:hAnsi="Arial" w:cs="Arial"/>
                <w:sz w:val="22"/>
                <w:szCs w:val="22"/>
              </w:rPr>
              <w:t xml:space="preserve"> </w:t>
            </w: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3" w14:textId="77777777" w:rsidR="00C510DC" w:rsidRDefault="00C510DC" w:rsidP="00D757B7">
      <w:pPr>
        <w:jc w:val="both"/>
        <w:rPr>
          <w:rFonts w:ascii="Arial" w:hAnsi="Arial" w:cs="Arial"/>
          <w:sz w:val="22"/>
          <w:szCs w:val="22"/>
        </w:rPr>
      </w:pPr>
    </w:p>
    <w:p w14:paraId="7642EE1F" w14:textId="1DD0AB5D" w:rsidR="00582AF2" w:rsidRPr="009405CE" w:rsidRDefault="00582AF2" w:rsidP="00582AF2">
      <w:pPr>
        <w:pStyle w:val="MainText"/>
        <w:spacing w:before="240" w:line="240" w:lineRule="auto"/>
        <w:rPr>
          <w:rFonts w:ascii="Arial" w:hAnsi="Arial" w:cs="Arial"/>
          <w:b/>
          <w:sz w:val="28"/>
          <w:szCs w:val="24"/>
        </w:rPr>
      </w:pPr>
      <w:r>
        <w:rPr>
          <w:rFonts w:ascii="Arial" w:hAnsi="Arial" w:cs="Arial"/>
          <w:b/>
          <w:sz w:val="28"/>
          <w:szCs w:val="28"/>
        </w:rPr>
        <w:t>Resources</w:t>
      </w:r>
      <w:r w:rsidRPr="00E03D49">
        <w:rPr>
          <w:rFonts w:ascii="Arial" w:hAnsi="Arial" w:cs="Arial"/>
          <w:b/>
          <w:sz w:val="28"/>
          <w:szCs w:val="28"/>
        </w:rPr>
        <w:t xml:space="preserve"> Board</w:t>
      </w:r>
      <w:r>
        <w:rPr>
          <w:rFonts w:ascii="Arial" w:hAnsi="Arial" w:cs="Arial"/>
          <w:b/>
          <w:sz w:val="28"/>
          <w:szCs w:val="24"/>
        </w:rPr>
        <w:t xml:space="preserve"> </w:t>
      </w:r>
      <w:r w:rsidR="00D01059">
        <w:rPr>
          <w:rFonts w:ascii="Arial" w:hAnsi="Arial" w:cs="Arial"/>
          <w:b/>
          <w:sz w:val="28"/>
          <w:szCs w:val="24"/>
        </w:rPr>
        <w:t xml:space="preserve">Priorities and </w:t>
      </w:r>
      <w:r>
        <w:rPr>
          <w:rFonts w:ascii="Arial" w:hAnsi="Arial" w:cs="Arial"/>
          <w:b/>
          <w:sz w:val="28"/>
          <w:szCs w:val="24"/>
        </w:rPr>
        <w:t>Work Programme</w:t>
      </w:r>
    </w:p>
    <w:p w14:paraId="0B19EA35" w14:textId="77777777" w:rsidR="00C510DC" w:rsidRDefault="00C510DC" w:rsidP="00D757B7">
      <w:pPr>
        <w:jc w:val="both"/>
        <w:rPr>
          <w:rFonts w:ascii="Arial" w:hAnsi="Arial" w:cs="Arial"/>
          <w:sz w:val="22"/>
          <w:szCs w:val="22"/>
        </w:rPr>
      </w:pPr>
    </w:p>
    <w:p w14:paraId="0B19EA36" w14:textId="77777777" w:rsidR="00E23785" w:rsidRDefault="00E23785" w:rsidP="00D757B7">
      <w:pPr>
        <w:jc w:val="both"/>
        <w:rPr>
          <w:rFonts w:ascii="Arial" w:hAnsi="Arial" w:cs="Arial"/>
          <w:sz w:val="22"/>
          <w:szCs w:val="22"/>
        </w:rPr>
      </w:pPr>
    </w:p>
    <w:p w14:paraId="0B19EA37" w14:textId="77777777" w:rsidR="00E23785" w:rsidRPr="00D01059" w:rsidRDefault="00E23785" w:rsidP="00704140">
      <w:pPr>
        <w:widowControl w:val="0"/>
        <w:tabs>
          <w:tab w:val="left" w:pos="426"/>
        </w:tabs>
        <w:rPr>
          <w:rFonts w:ascii="Arial" w:hAnsi="Arial" w:cs="Arial"/>
          <w:sz w:val="22"/>
          <w:szCs w:val="22"/>
        </w:rPr>
      </w:pPr>
      <w:r w:rsidRPr="00D01059">
        <w:rPr>
          <w:rFonts w:ascii="Arial" w:hAnsi="Arial" w:cs="Arial"/>
          <w:b/>
          <w:sz w:val="22"/>
          <w:szCs w:val="22"/>
        </w:rPr>
        <w:t>Background</w:t>
      </w:r>
    </w:p>
    <w:p w14:paraId="0B19EA38" w14:textId="77777777" w:rsidR="00E23785" w:rsidRPr="00D01059" w:rsidRDefault="00E23785" w:rsidP="00D757B7">
      <w:pPr>
        <w:jc w:val="both"/>
        <w:rPr>
          <w:rFonts w:ascii="Arial" w:hAnsi="Arial" w:cs="Arial"/>
          <w:sz w:val="22"/>
          <w:szCs w:val="22"/>
        </w:rPr>
      </w:pPr>
    </w:p>
    <w:p w14:paraId="62AA2CD6" w14:textId="49C6781C" w:rsidR="00D01059" w:rsidRPr="00D01059" w:rsidRDefault="00D01059" w:rsidP="00D01059">
      <w:pPr>
        <w:pStyle w:val="ListParagraph"/>
        <w:numPr>
          <w:ilvl w:val="0"/>
          <w:numId w:val="17"/>
        </w:numPr>
        <w:ind w:left="426" w:hanging="426"/>
        <w:rPr>
          <w:rFonts w:ascii="Arial" w:hAnsi="Arial" w:cs="Arial"/>
          <w:color w:val="000000"/>
          <w:sz w:val="22"/>
          <w:szCs w:val="22"/>
          <w:lang w:val="en"/>
        </w:rPr>
      </w:pPr>
      <w:r w:rsidRPr="00D01059">
        <w:rPr>
          <w:rFonts w:ascii="Arial" w:hAnsi="Arial" w:cs="Arial"/>
          <w:color w:val="000000"/>
          <w:sz w:val="22"/>
          <w:szCs w:val="22"/>
          <w:lang w:val="en"/>
        </w:rPr>
        <w:t xml:space="preserve">Local Government Association’s (LGA) Boards engage with and develop a thorough understanding of councils' priorities in relation to their particular </w:t>
      </w:r>
      <w:proofErr w:type="spellStart"/>
      <w:r w:rsidRPr="00D01059">
        <w:rPr>
          <w:rFonts w:ascii="Arial" w:hAnsi="Arial" w:cs="Arial"/>
          <w:color w:val="000000"/>
          <w:sz w:val="22"/>
          <w:szCs w:val="22"/>
          <w:lang w:val="en"/>
        </w:rPr>
        <w:t>programme</w:t>
      </w:r>
      <w:proofErr w:type="spellEnd"/>
      <w:r w:rsidRPr="00D01059">
        <w:rPr>
          <w:rFonts w:ascii="Arial" w:hAnsi="Arial" w:cs="Arial"/>
          <w:color w:val="000000"/>
          <w:sz w:val="22"/>
          <w:szCs w:val="22"/>
          <w:lang w:val="en"/>
        </w:rPr>
        <w:t xml:space="preserve"> area. They also help shape our business plan and, through extensive engagement with councils, oversee </w:t>
      </w:r>
      <w:proofErr w:type="spellStart"/>
      <w:r w:rsidRPr="00D01059">
        <w:rPr>
          <w:rFonts w:ascii="Arial" w:hAnsi="Arial" w:cs="Arial"/>
          <w:color w:val="000000"/>
          <w:sz w:val="22"/>
          <w:szCs w:val="22"/>
          <w:lang w:val="en"/>
        </w:rPr>
        <w:t>programmes</w:t>
      </w:r>
      <w:proofErr w:type="spellEnd"/>
      <w:r w:rsidRPr="00D01059">
        <w:rPr>
          <w:rFonts w:ascii="Arial" w:hAnsi="Arial" w:cs="Arial"/>
          <w:color w:val="000000"/>
          <w:sz w:val="22"/>
          <w:szCs w:val="22"/>
          <w:lang w:val="en"/>
        </w:rPr>
        <w:t xml:space="preserve"> of work that deliver the strategic priorities set by the LGA Executive.</w:t>
      </w:r>
    </w:p>
    <w:p w14:paraId="3586EDCD" w14:textId="77777777" w:rsidR="00D01059" w:rsidRPr="00D01059" w:rsidRDefault="00D01059" w:rsidP="00D01059">
      <w:pPr>
        <w:rPr>
          <w:rFonts w:ascii="Arial" w:hAnsi="Arial" w:cs="Arial"/>
          <w:color w:val="000000"/>
          <w:sz w:val="22"/>
          <w:szCs w:val="22"/>
          <w:lang w:val="en"/>
        </w:rPr>
      </w:pPr>
    </w:p>
    <w:p w14:paraId="67B8B6C9" w14:textId="25C7C35A" w:rsidR="00D01059" w:rsidRPr="00D01059" w:rsidRDefault="00D01059" w:rsidP="00D01059">
      <w:pPr>
        <w:pStyle w:val="ListParagraph"/>
        <w:numPr>
          <w:ilvl w:val="0"/>
          <w:numId w:val="17"/>
        </w:numPr>
        <w:autoSpaceDE w:val="0"/>
        <w:autoSpaceDN w:val="0"/>
        <w:adjustRightInd w:val="0"/>
        <w:ind w:left="426" w:hanging="437"/>
        <w:rPr>
          <w:rFonts w:ascii="Arial" w:hAnsi="Arial" w:cs="Arial"/>
          <w:sz w:val="22"/>
          <w:szCs w:val="22"/>
        </w:rPr>
      </w:pPr>
      <w:r w:rsidRPr="00D01059">
        <w:rPr>
          <w:rFonts w:ascii="Arial" w:hAnsi="Arial" w:cs="Arial"/>
          <w:sz w:val="22"/>
          <w:szCs w:val="22"/>
        </w:rPr>
        <w:t>The LGA’s Resources Board shapes and develops the Association's policies and</w:t>
      </w:r>
      <w:r>
        <w:rPr>
          <w:rFonts w:ascii="Arial" w:hAnsi="Arial" w:cs="Arial"/>
          <w:sz w:val="22"/>
          <w:szCs w:val="22"/>
        </w:rPr>
        <w:t xml:space="preserve"> </w:t>
      </w:r>
      <w:r w:rsidRPr="00D01059">
        <w:rPr>
          <w:rFonts w:ascii="Arial" w:hAnsi="Arial" w:cs="Arial"/>
          <w:sz w:val="22"/>
          <w:szCs w:val="22"/>
        </w:rPr>
        <w:t>programmes in line with the LGA priorities in relation to: Local Government Finance; Strategic Finance; Welfare Reform; and Workforce issues.</w:t>
      </w:r>
    </w:p>
    <w:p w14:paraId="75EA25F7" w14:textId="77777777" w:rsidR="00D01059" w:rsidRPr="00D01059" w:rsidRDefault="00D01059" w:rsidP="00D01059">
      <w:pPr>
        <w:autoSpaceDE w:val="0"/>
        <w:autoSpaceDN w:val="0"/>
        <w:adjustRightInd w:val="0"/>
        <w:rPr>
          <w:rFonts w:ascii="Arial" w:hAnsi="Arial" w:cs="Arial"/>
          <w:sz w:val="22"/>
          <w:szCs w:val="22"/>
        </w:rPr>
      </w:pPr>
    </w:p>
    <w:p w14:paraId="32BF772F" w14:textId="525158B7" w:rsidR="00D01059" w:rsidRPr="00D01059" w:rsidRDefault="00D01059" w:rsidP="00D01059">
      <w:pPr>
        <w:pStyle w:val="PlainText"/>
        <w:numPr>
          <w:ilvl w:val="0"/>
          <w:numId w:val="17"/>
        </w:numPr>
        <w:ind w:left="426" w:hanging="426"/>
        <w:rPr>
          <w:rFonts w:cs="Arial"/>
          <w:szCs w:val="22"/>
        </w:rPr>
      </w:pPr>
      <w:r w:rsidRPr="00D01059">
        <w:rPr>
          <w:rFonts w:cs="Arial"/>
          <w:szCs w:val="22"/>
        </w:rPr>
        <w:t xml:space="preserve">At this first meeting of the </w:t>
      </w:r>
      <w:r w:rsidR="00BE7822">
        <w:rPr>
          <w:rFonts w:cs="Arial"/>
          <w:szCs w:val="22"/>
        </w:rPr>
        <w:t>Resources</w:t>
      </w:r>
      <w:r w:rsidRPr="00D01059">
        <w:rPr>
          <w:rFonts w:cs="Arial"/>
          <w:szCs w:val="22"/>
        </w:rPr>
        <w:t xml:space="preserve"> Board, members are asked to consider the policy priorities for the work programme for the coming year. In making these decisions, members are asked to consider two issues:</w:t>
      </w:r>
    </w:p>
    <w:p w14:paraId="764C02B0" w14:textId="77777777" w:rsidR="00D01059" w:rsidRPr="00D01059" w:rsidRDefault="00D01059" w:rsidP="00D01059">
      <w:pPr>
        <w:pStyle w:val="PlainText"/>
        <w:rPr>
          <w:rFonts w:cs="Arial"/>
          <w:szCs w:val="22"/>
        </w:rPr>
      </w:pPr>
    </w:p>
    <w:p w14:paraId="63DE45E2" w14:textId="7E6BE06F" w:rsidR="00D826DF" w:rsidRPr="001F036B" w:rsidRDefault="000B1B55" w:rsidP="00896F67">
      <w:pPr>
        <w:pStyle w:val="PlainText"/>
        <w:numPr>
          <w:ilvl w:val="1"/>
          <w:numId w:val="18"/>
        </w:numPr>
        <w:ind w:left="851" w:hanging="491"/>
        <w:rPr>
          <w:rFonts w:cs="Arial"/>
          <w:szCs w:val="22"/>
        </w:rPr>
      </w:pPr>
      <w:r w:rsidRPr="008F171C">
        <w:rPr>
          <w:rFonts w:cs="Arial"/>
          <w:szCs w:val="22"/>
        </w:rPr>
        <w:t>That the</w:t>
      </w:r>
      <w:r w:rsidR="00D01059" w:rsidRPr="008F171C">
        <w:rPr>
          <w:rFonts w:cs="Arial"/>
          <w:szCs w:val="22"/>
        </w:rPr>
        <w:t xml:space="preserve"> LGA Leadership Board </w:t>
      </w:r>
      <w:r w:rsidR="008F171C" w:rsidRPr="008F171C">
        <w:rPr>
          <w:rFonts w:cs="Arial"/>
          <w:szCs w:val="22"/>
        </w:rPr>
        <w:t xml:space="preserve">will be </w:t>
      </w:r>
      <w:r w:rsidR="008F171C">
        <w:rPr>
          <w:rFonts w:cs="Arial"/>
        </w:rPr>
        <w:t xml:space="preserve">meeting on 14 September to discuss the LGA’s priorities and work programme in relation to EU exit. It is likely that individual boards will be asked to lead on aspects of work that fall within their terms of </w:t>
      </w:r>
      <w:r w:rsidR="00CC38E2">
        <w:rPr>
          <w:rFonts w:cs="Arial"/>
        </w:rPr>
        <w:t xml:space="preserve">reference. </w:t>
      </w:r>
    </w:p>
    <w:p w14:paraId="4AECBE85" w14:textId="77777777" w:rsidR="001F036B" w:rsidRPr="00A52172" w:rsidRDefault="001F036B" w:rsidP="001F036B">
      <w:pPr>
        <w:pStyle w:val="PlainText"/>
        <w:ind w:left="851"/>
        <w:rPr>
          <w:rFonts w:cs="Arial"/>
          <w:szCs w:val="22"/>
        </w:rPr>
      </w:pPr>
    </w:p>
    <w:p w14:paraId="4D7A0C3E" w14:textId="612BE3C3" w:rsidR="00D01059" w:rsidRPr="008F171C" w:rsidRDefault="00CC38E2" w:rsidP="00896F67">
      <w:pPr>
        <w:pStyle w:val="PlainText"/>
        <w:numPr>
          <w:ilvl w:val="1"/>
          <w:numId w:val="18"/>
        </w:numPr>
        <w:ind w:left="851" w:hanging="491"/>
        <w:rPr>
          <w:rFonts w:cs="Arial"/>
          <w:szCs w:val="22"/>
        </w:rPr>
      </w:pPr>
      <w:r>
        <w:rPr>
          <w:rFonts w:cs="Arial"/>
        </w:rPr>
        <w:t>Specific</w:t>
      </w:r>
      <w:r w:rsidR="00D01059" w:rsidRPr="008F171C">
        <w:rPr>
          <w:rFonts w:cs="Arial"/>
          <w:szCs w:val="22"/>
        </w:rPr>
        <w:t xml:space="preserve"> policy priorities based on the remit of this Board.</w:t>
      </w:r>
    </w:p>
    <w:p w14:paraId="73C01B40" w14:textId="77777777" w:rsidR="000B1B55" w:rsidRPr="00D01059" w:rsidRDefault="000B1B55" w:rsidP="00D01059">
      <w:pPr>
        <w:pStyle w:val="PlainText"/>
        <w:rPr>
          <w:rFonts w:eastAsia="Times New Roman" w:cs="Arial"/>
          <w:szCs w:val="22"/>
          <w:lang w:eastAsia="en-GB"/>
        </w:rPr>
      </w:pPr>
    </w:p>
    <w:p w14:paraId="06F41F45" w14:textId="77777777" w:rsidR="00D01059" w:rsidRPr="007F7F97" w:rsidRDefault="00D01059" w:rsidP="00D01059">
      <w:pPr>
        <w:widowControl w:val="0"/>
        <w:tabs>
          <w:tab w:val="left" w:pos="885"/>
        </w:tabs>
        <w:rPr>
          <w:rFonts w:ascii="Arial" w:hAnsi="Arial" w:cs="Arial"/>
          <w:b/>
          <w:sz w:val="22"/>
          <w:szCs w:val="22"/>
        </w:rPr>
      </w:pPr>
      <w:r>
        <w:rPr>
          <w:rFonts w:ascii="Arial" w:hAnsi="Arial" w:cs="Arial"/>
          <w:b/>
          <w:sz w:val="22"/>
          <w:szCs w:val="22"/>
        </w:rPr>
        <w:t>Board</w:t>
      </w:r>
      <w:r w:rsidRPr="007F7F97">
        <w:rPr>
          <w:rFonts w:ascii="Arial" w:hAnsi="Arial" w:cs="Arial"/>
          <w:b/>
          <w:sz w:val="22"/>
          <w:szCs w:val="22"/>
        </w:rPr>
        <w:t xml:space="preserve"> Work Programme and Resources </w:t>
      </w:r>
    </w:p>
    <w:p w14:paraId="5A68F10B" w14:textId="77777777" w:rsidR="00D01059" w:rsidRDefault="00D01059" w:rsidP="00D01059">
      <w:pPr>
        <w:pStyle w:val="PlainText"/>
        <w:ind w:left="360"/>
        <w:rPr>
          <w:rFonts w:cs="Arial"/>
          <w:szCs w:val="22"/>
        </w:rPr>
      </w:pPr>
    </w:p>
    <w:p w14:paraId="1E9A36DE" w14:textId="461F8F4F" w:rsidR="000F63C6" w:rsidRPr="00D01059" w:rsidRDefault="00F256BD" w:rsidP="002620F5">
      <w:pPr>
        <w:pStyle w:val="PlainText"/>
        <w:numPr>
          <w:ilvl w:val="0"/>
          <w:numId w:val="17"/>
        </w:numPr>
        <w:ind w:left="426" w:hanging="426"/>
        <w:rPr>
          <w:rFonts w:cs="Arial"/>
          <w:szCs w:val="22"/>
        </w:rPr>
      </w:pPr>
      <w:r w:rsidRPr="00D01059">
        <w:rPr>
          <w:rFonts w:cs="Arial"/>
          <w:szCs w:val="22"/>
        </w:rPr>
        <w:t>T</w:t>
      </w:r>
      <w:r w:rsidR="007F7F97" w:rsidRPr="00D01059">
        <w:rPr>
          <w:rFonts w:cs="Arial"/>
          <w:szCs w:val="22"/>
        </w:rPr>
        <w:t xml:space="preserve">his report </w:t>
      </w:r>
      <w:r w:rsidR="00374769" w:rsidRPr="00D01059">
        <w:rPr>
          <w:rFonts w:cs="Arial"/>
          <w:szCs w:val="22"/>
        </w:rPr>
        <w:t>sets o</w:t>
      </w:r>
      <w:r w:rsidR="004D57A0" w:rsidRPr="00D01059">
        <w:rPr>
          <w:rFonts w:cs="Arial"/>
          <w:szCs w:val="22"/>
        </w:rPr>
        <w:t xml:space="preserve">ut a </w:t>
      </w:r>
      <w:r w:rsidR="007F7F97" w:rsidRPr="00D01059">
        <w:rPr>
          <w:rFonts w:cs="Arial"/>
          <w:szCs w:val="22"/>
        </w:rPr>
        <w:t>suggest</w:t>
      </w:r>
      <w:r w:rsidR="004D57A0" w:rsidRPr="00D01059">
        <w:rPr>
          <w:rFonts w:cs="Arial"/>
          <w:szCs w:val="22"/>
        </w:rPr>
        <w:t xml:space="preserve">ed </w:t>
      </w:r>
      <w:r w:rsidRPr="00D01059">
        <w:rPr>
          <w:rFonts w:cs="Arial"/>
          <w:szCs w:val="22"/>
        </w:rPr>
        <w:t>work programme for the Board that will help deliver the LGA’s Business Plan priorities.  Member</w:t>
      </w:r>
      <w:r w:rsidR="0061785E" w:rsidRPr="00D01059">
        <w:rPr>
          <w:rFonts w:cs="Arial"/>
          <w:szCs w:val="22"/>
        </w:rPr>
        <w:t>s</w:t>
      </w:r>
      <w:r w:rsidRPr="00D01059">
        <w:rPr>
          <w:rFonts w:cs="Arial"/>
          <w:szCs w:val="22"/>
        </w:rPr>
        <w:t xml:space="preserve"> are asked to </w:t>
      </w:r>
      <w:r w:rsidR="00374769" w:rsidRPr="00D01059">
        <w:rPr>
          <w:rFonts w:cs="Arial"/>
          <w:szCs w:val="22"/>
        </w:rPr>
        <w:t>consider</w:t>
      </w:r>
      <w:r w:rsidR="004D57A0" w:rsidRPr="00D01059">
        <w:rPr>
          <w:rFonts w:cs="Arial"/>
          <w:szCs w:val="22"/>
        </w:rPr>
        <w:t xml:space="preserve"> </w:t>
      </w:r>
      <w:r w:rsidRPr="00D01059">
        <w:rPr>
          <w:rFonts w:cs="Arial"/>
          <w:szCs w:val="22"/>
        </w:rPr>
        <w:t>the</w:t>
      </w:r>
      <w:r w:rsidR="007F7F97" w:rsidRPr="00D01059">
        <w:rPr>
          <w:rFonts w:cs="Arial"/>
          <w:szCs w:val="22"/>
        </w:rPr>
        <w:t xml:space="preserve"> following priorities and projects</w:t>
      </w:r>
      <w:r w:rsidR="008276A8" w:rsidRPr="00D01059">
        <w:rPr>
          <w:rFonts w:cs="Arial"/>
          <w:szCs w:val="22"/>
        </w:rPr>
        <w:t xml:space="preserve"> listed in the below table a</w:t>
      </w:r>
      <w:r w:rsidRPr="00D01059">
        <w:rPr>
          <w:rFonts w:cs="Arial"/>
          <w:szCs w:val="22"/>
        </w:rPr>
        <w:t>s the Board’s focus for the coming year</w:t>
      </w:r>
      <w:r w:rsidR="00DF6334" w:rsidRPr="00D01059">
        <w:rPr>
          <w:rFonts w:cs="Arial"/>
          <w:szCs w:val="22"/>
        </w:rPr>
        <w:t>.</w:t>
      </w:r>
    </w:p>
    <w:p w14:paraId="0B19EA4F" w14:textId="233D9572" w:rsidR="00C87C14" w:rsidRPr="008276A8" w:rsidRDefault="00C87C14" w:rsidP="002D26A7">
      <w:pPr>
        <w:widowControl w:val="0"/>
        <w:tabs>
          <w:tab w:val="left" w:pos="426"/>
        </w:tabs>
        <w:rPr>
          <w:rFonts w:ascii="Arial" w:hAnsi="Arial" w:cs="Arial"/>
          <w:sz w:val="22"/>
          <w:szCs w:val="22"/>
        </w:rPr>
      </w:pPr>
    </w:p>
    <w:tbl>
      <w:tblPr>
        <w:tblStyle w:val="TableGrid"/>
        <w:tblW w:w="9781" w:type="dxa"/>
        <w:tblLook w:val="04A0" w:firstRow="1" w:lastRow="0" w:firstColumn="1" w:lastColumn="0" w:noHBand="0" w:noVBand="1"/>
      </w:tblPr>
      <w:tblGrid>
        <w:gridCol w:w="2141"/>
        <w:gridCol w:w="7640"/>
      </w:tblGrid>
      <w:tr w:rsidR="0046089A" w:rsidRPr="008276A8" w14:paraId="089D0B39" w14:textId="77777777" w:rsidTr="00896F67">
        <w:tc>
          <w:tcPr>
            <w:tcW w:w="9781" w:type="dxa"/>
            <w:gridSpan w:val="2"/>
            <w:shd w:val="clear" w:color="auto" w:fill="D9D9D9" w:themeFill="background1" w:themeFillShade="D9"/>
          </w:tcPr>
          <w:p w14:paraId="34F05769" w14:textId="77777777" w:rsidR="0046089A" w:rsidRDefault="0046089A" w:rsidP="00896F67">
            <w:pPr>
              <w:rPr>
                <w:rFonts w:ascii="Arial" w:hAnsi="Arial" w:cs="Arial"/>
                <w:b/>
                <w:sz w:val="22"/>
                <w:szCs w:val="22"/>
              </w:rPr>
            </w:pPr>
            <w:r w:rsidRPr="008276A8">
              <w:rPr>
                <w:rFonts w:ascii="Arial" w:hAnsi="Arial" w:cs="Arial"/>
                <w:b/>
                <w:sz w:val="22"/>
                <w:szCs w:val="22"/>
              </w:rPr>
              <w:t>Work Stream: Workforce</w:t>
            </w:r>
          </w:p>
          <w:p w14:paraId="03563782" w14:textId="77777777" w:rsidR="0046089A" w:rsidRPr="008276A8" w:rsidRDefault="0046089A" w:rsidP="00896F67">
            <w:pPr>
              <w:rPr>
                <w:rFonts w:ascii="Arial" w:hAnsi="Arial" w:cs="Arial"/>
                <w:b/>
                <w:sz w:val="22"/>
                <w:szCs w:val="22"/>
              </w:rPr>
            </w:pPr>
            <w:r>
              <w:rPr>
                <w:rFonts w:ascii="Arial" w:hAnsi="Arial" w:cs="Arial"/>
                <w:b/>
                <w:sz w:val="22"/>
                <w:szCs w:val="22"/>
              </w:rPr>
              <w:t>This work stream is organised into three strands: pay and negotiations support; pension policy and strategic workforce issues</w:t>
            </w:r>
          </w:p>
          <w:p w14:paraId="1D9C19F8" w14:textId="77777777" w:rsidR="0046089A" w:rsidRPr="008276A8" w:rsidRDefault="0046089A" w:rsidP="00896F67">
            <w:pPr>
              <w:rPr>
                <w:rFonts w:ascii="Arial" w:hAnsi="Arial" w:cs="Arial"/>
                <w:b/>
                <w:sz w:val="22"/>
                <w:szCs w:val="22"/>
              </w:rPr>
            </w:pPr>
          </w:p>
        </w:tc>
      </w:tr>
      <w:tr w:rsidR="0046089A" w:rsidRPr="008276A8" w14:paraId="1FD05D16" w14:textId="77777777" w:rsidTr="00896F67">
        <w:tc>
          <w:tcPr>
            <w:tcW w:w="2141" w:type="dxa"/>
          </w:tcPr>
          <w:p w14:paraId="0BC4522B" w14:textId="77777777" w:rsidR="0046089A" w:rsidRDefault="0046089A" w:rsidP="00896F67">
            <w:pPr>
              <w:rPr>
                <w:rFonts w:ascii="Arial" w:hAnsi="Arial" w:cs="Arial"/>
                <w:sz w:val="22"/>
                <w:szCs w:val="22"/>
              </w:rPr>
            </w:pPr>
            <w:r>
              <w:rPr>
                <w:rFonts w:ascii="Arial" w:hAnsi="Arial" w:cs="Arial"/>
                <w:sz w:val="22"/>
                <w:szCs w:val="22"/>
              </w:rPr>
              <w:t>Pay and negotiations</w:t>
            </w:r>
          </w:p>
        </w:tc>
        <w:tc>
          <w:tcPr>
            <w:tcW w:w="7640" w:type="dxa"/>
          </w:tcPr>
          <w:p w14:paraId="0590E18A" w14:textId="77777777" w:rsidR="0046089A" w:rsidRPr="00032B2E" w:rsidRDefault="0046089A" w:rsidP="0046089A">
            <w:pPr>
              <w:pStyle w:val="ListParagraph"/>
              <w:widowControl w:val="0"/>
              <w:numPr>
                <w:ilvl w:val="0"/>
                <w:numId w:val="25"/>
              </w:numPr>
              <w:tabs>
                <w:tab w:val="left" w:pos="426"/>
              </w:tabs>
              <w:rPr>
                <w:rFonts w:ascii="Arial" w:hAnsi="Arial" w:cs="Arial"/>
                <w:sz w:val="22"/>
                <w:szCs w:val="22"/>
              </w:rPr>
            </w:pPr>
            <w:r w:rsidRPr="00032B2E">
              <w:rPr>
                <w:rFonts w:ascii="Arial" w:hAnsi="Arial" w:cs="Arial"/>
                <w:sz w:val="22"/>
                <w:szCs w:val="22"/>
              </w:rPr>
              <w:t>Continue to support councils in obtaining value for money in their pay bill by negotiating fair and affordable pay agreements</w:t>
            </w:r>
          </w:p>
          <w:p w14:paraId="22291B2A" w14:textId="77777777" w:rsidR="0046089A" w:rsidRPr="00032B2E" w:rsidRDefault="0046089A" w:rsidP="0046089A">
            <w:pPr>
              <w:pStyle w:val="ListParagraph"/>
              <w:widowControl w:val="0"/>
              <w:numPr>
                <w:ilvl w:val="0"/>
                <w:numId w:val="25"/>
              </w:numPr>
              <w:tabs>
                <w:tab w:val="left" w:pos="426"/>
              </w:tabs>
              <w:rPr>
                <w:rFonts w:ascii="Arial" w:hAnsi="Arial" w:cs="Arial"/>
                <w:sz w:val="22"/>
                <w:szCs w:val="22"/>
              </w:rPr>
            </w:pPr>
            <w:r w:rsidRPr="00032B2E">
              <w:rPr>
                <w:rFonts w:ascii="Arial" w:hAnsi="Arial" w:cs="Arial"/>
                <w:sz w:val="22"/>
                <w:szCs w:val="22"/>
              </w:rPr>
              <w:t>Begin the work of developing and agreeing a new pay structure for Local Government Services taking account of the National Living Wage</w:t>
            </w:r>
          </w:p>
          <w:p w14:paraId="1E03DE4C" w14:textId="77777777" w:rsidR="0046089A" w:rsidRPr="00032B2E" w:rsidRDefault="0046089A" w:rsidP="0046089A">
            <w:pPr>
              <w:pStyle w:val="ListParagraph"/>
              <w:widowControl w:val="0"/>
              <w:numPr>
                <w:ilvl w:val="0"/>
                <w:numId w:val="25"/>
              </w:numPr>
              <w:tabs>
                <w:tab w:val="left" w:pos="426"/>
              </w:tabs>
              <w:rPr>
                <w:rFonts w:ascii="Arial" w:hAnsi="Arial" w:cs="Arial"/>
                <w:sz w:val="22"/>
                <w:szCs w:val="22"/>
              </w:rPr>
            </w:pPr>
            <w:r w:rsidRPr="00032B2E">
              <w:rPr>
                <w:rFonts w:ascii="Arial" w:hAnsi="Arial" w:cs="Arial"/>
                <w:sz w:val="22"/>
                <w:szCs w:val="22"/>
              </w:rPr>
              <w:t xml:space="preserve">Continue to support negotiations for Education, Fire and Police services </w:t>
            </w:r>
          </w:p>
          <w:p w14:paraId="1573BA64" w14:textId="77777777" w:rsidR="0046089A" w:rsidRPr="00032B2E" w:rsidRDefault="0046089A" w:rsidP="0046089A">
            <w:pPr>
              <w:pStyle w:val="ListParagraph"/>
              <w:widowControl w:val="0"/>
              <w:numPr>
                <w:ilvl w:val="0"/>
                <w:numId w:val="25"/>
              </w:numPr>
              <w:tabs>
                <w:tab w:val="left" w:pos="426"/>
              </w:tabs>
              <w:rPr>
                <w:rFonts w:ascii="Arial" w:hAnsi="Arial" w:cs="Arial"/>
                <w:sz w:val="22"/>
                <w:szCs w:val="22"/>
              </w:rPr>
            </w:pPr>
            <w:r w:rsidRPr="00032B2E">
              <w:rPr>
                <w:rFonts w:ascii="Arial" w:hAnsi="Arial" w:cs="Arial"/>
                <w:sz w:val="22"/>
                <w:szCs w:val="22"/>
              </w:rPr>
              <w:t>Continue to coordinate responses to consultation on changes to employment law and regulations with a growing emphasis on the potential consequences of Brexit</w:t>
            </w:r>
          </w:p>
          <w:p w14:paraId="13C24B53" w14:textId="77777777" w:rsidR="0046089A" w:rsidRDefault="0046089A" w:rsidP="00896F67">
            <w:pPr>
              <w:widowControl w:val="0"/>
              <w:tabs>
                <w:tab w:val="left" w:pos="426"/>
              </w:tabs>
              <w:rPr>
                <w:rFonts w:ascii="Arial" w:hAnsi="Arial" w:cs="Arial"/>
                <w:sz w:val="22"/>
                <w:szCs w:val="22"/>
              </w:rPr>
            </w:pPr>
          </w:p>
        </w:tc>
      </w:tr>
      <w:tr w:rsidR="0046089A" w:rsidRPr="008276A8" w14:paraId="434559D5" w14:textId="77777777" w:rsidTr="00896F67">
        <w:tc>
          <w:tcPr>
            <w:tcW w:w="2141" w:type="dxa"/>
          </w:tcPr>
          <w:p w14:paraId="178FD5BC" w14:textId="77777777" w:rsidR="0046089A" w:rsidRPr="008276A8" w:rsidRDefault="0046089A" w:rsidP="00896F67">
            <w:pPr>
              <w:rPr>
                <w:rFonts w:ascii="Arial" w:hAnsi="Arial" w:cs="Arial"/>
                <w:sz w:val="22"/>
                <w:szCs w:val="22"/>
              </w:rPr>
            </w:pPr>
            <w:r>
              <w:rPr>
                <w:rFonts w:ascii="Arial" w:hAnsi="Arial" w:cs="Arial"/>
                <w:sz w:val="22"/>
                <w:szCs w:val="22"/>
              </w:rPr>
              <w:t>Pensions</w:t>
            </w:r>
          </w:p>
        </w:tc>
        <w:tc>
          <w:tcPr>
            <w:tcW w:w="7640" w:type="dxa"/>
          </w:tcPr>
          <w:p w14:paraId="04073E61" w14:textId="78D3229B" w:rsidR="0046089A" w:rsidRPr="00032B2E" w:rsidRDefault="0046089A" w:rsidP="0046089A">
            <w:pPr>
              <w:pStyle w:val="ListParagraph"/>
              <w:widowControl w:val="0"/>
              <w:numPr>
                <w:ilvl w:val="0"/>
                <w:numId w:val="26"/>
              </w:numPr>
              <w:tabs>
                <w:tab w:val="left" w:pos="426"/>
              </w:tabs>
              <w:rPr>
                <w:rFonts w:ascii="Arial" w:hAnsi="Arial" w:cs="Arial"/>
                <w:sz w:val="22"/>
                <w:szCs w:val="22"/>
                <w:lang w:eastAsia="en-GB"/>
              </w:rPr>
            </w:pPr>
            <w:r w:rsidRPr="00032B2E">
              <w:rPr>
                <w:rFonts w:ascii="Arial" w:hAnsi="Arial" w:cs="Arial"/>
                <w:sz w:val="22"/>
                <w:szCs w:val="22"/>
              </w:rPr>
              <w:t xml:space="preserve">Combining the £200bn assets of the 89 pension funds in England </w:t>
            </w:r>
            <w:r w:rsidRPr="00032B2E">
              <w:rPr>
                <w:rFonts w:ascii="Arial" w:hAnsi="Arial" w:cs="Arial"/>
                <w:sz w:val="22"/>
                <w:szCs w:val="22"/>
              </w:rPr>
              <w:lastRenderedPageBreak/>
              <w:t>and Wales into 7 or 8 pools and work on legislation for Secretary of State to intervene in investment matters.</w:t>
            </w:r>
            <w:r>
              <w:rPr>
                <w:rFonts w:ascii="Arial" w:hAnsi="Arial" w:cs="Arial"/>
                <w:sz w:val="22"/>
                <w:szCs w:val="22"/>
              </w:rPr>
              <w:t xml:space="preserve"> </w:t>
            </w:r>
            <w:r w:rsidRPr="00032B2E">
              <w:rPr>
                <w:rFonts w:ascii="Arial" w:hAnsi="Arial" w:cs="Arial"/>
                <w:sz w:val="22"/>
                <w:szCs w:val="22"/>
              </w:rPr>
              <w:t xml:space="preserve">Valuations will see employer cost increases beyond current average 25% of payroll. </w:t>
            </w:r>
          </w:p>
          <w:p w14:paraId="24F0C1BE" w14:textId="1B7BD626" w:rsidR="0046089A" w:rsidRPr="00032B2E" w:rsidRDefault="0046089A" w:rsidP="0046089A">
            <w:pPr>
              <w:pStyle w:val="ListParagraph"/>
              <w:widowControl w:val="0"/>
              <w:numPr>
                <w:ilvl w:val="0"/>
                <w:numId w:val="26"/>
              </w:numPr>
              <w:tabs>
                <w:tab w:val="left" w:pos="426"/>
              </w:tabs>
              <w:rPr>
                <w:rFonts w:ascii="Arial" w:hAnsi="Arial" w:cs="Arial"/>
                <w:sz w:val="22"/>
                <w:szCs w:val="22"/>
                <w:lang w:eastAsia="en-GB"/>
              </w:rPr>
            </w:pPr>
            <w:r w:rsidRPr="00032B2E">
              <w:rPr>
                <w:rFonts w:ascii="Arial" w:hAnsi="Arial" w:cs="Arial"/>
                <w:sz w:val="22"/>
                <w:szCs w:val="22"/>
              </w:rPr>
              <w:t>Also focused on potential for Freedom and Choice extension into LGPS and</w:t>
            </w:r>
            <w:r>
              <w:rPr>
                <w:rFonts w:ascii="Arial" w:hAnsi="Arial" w:cs="Arial"/>
                <w:sz w:val="22"/>
                <w:szCs w:val="22"/>
              </w:rPr>
              <w:t xml:space="preserve"> </w:t>
            </w:r>
            <w:r w:rsidRPr="00032B2E">
              <w:rPr>
                <w:rFonts w:ascii="Arial" w:hAnsi="Arial" w:cs="Arial"/>
                <w:sz w:val="22"/>
                <w:szCs w:val="22"/>
              </w:rPr>
              <w:t xml:space="preserve">possible £1bn bill for increases to Guaranteed Minimum Pensions  </w:t>
            </w:r>
          </w:p>
        </w:tc>
      </w:tr>
      <w:tr w:rsidR="0046089A" w:rsidRPr="008276A8" w14:paraId="00F6EA01" w14:textId="77777777" w:rsidTr="00896F67">
        <w:tc>
          <w:tcPr>
            <w:tcW w:w="2141" w:type="dxa"/>
          </w:tcPr>
          <w:p w14:paraId="569428FA" w14:textId="77777777" w:rsidR="0046089A" w:rsidRPr="008276A8" w:rsidRDefault="0046089A" w:rsidP="00896F67">
            <w:pPr>
              <w:rPr>
                <w:rFonts w:ascii="Arial" w:hAnsi="Arial" w:cs="Arial"/>
                <w:sz w:val="22"/>
                <w:szCs w:val="22"/>
              </w:rPr>
            </w:pPr>
            <w:r>
              <w:rPr>
                <w:rFonts w:ascii="Arial" w:hAnsi="Arial" w:cs="Arial"/>
                <w:sz w:val="22"/>
                <w:szCs w:val="22"/>
              </w:rPr>
              <w:lastRenderedPageBreak/>
              <w:t>Workforce Strategy</w:t>
            </w:r>
          </w:p>
        </w:tc>
        <w:tc>
          <w:tcPr>
            <w:tcW w:w="7640" w:type="dxa"/>
          </w:tcPr>
          <w:p w14:paraId="0CF4EE8B" w14:textId="77777777" w:rsidR="0046089A" w:rsidRPr="00032B2E" w:rsidRDefault="0046089A" w:rsidP="0046089A">
            <w:pPr>
              <w:pStyle w:val="ListParagraph"/>
              <w:numPr>
                <w:ilvl w:val="0"/>
                <w:numId w:val="26"/>
              </w:numPr>
              <w:rPr>
                <w:rFonts w:ascii="Arial" w:hAnsi="Arial" w:cs="Arial"/>
                <w:sz w:val="22"/>
                <w:szCs w:val="22"/>
              </w:rPr>
            </w:pPr>
            <w:r w:rsidRPr="00032B2E">
              <w:rPr>
                <w:rFonts w:ascii="Arial" w:hAnsi="Arial" w:cs="Arial"/>
                <w:sz w:val="22"/>
                <w:szCs w:val="22"/>
              </w:rPr>
              <w:t>Continue to advise and assist councils in modernising their approaches to organisational design, pay and rewards and other workforce development issues</w:t>
            </w:r>
          </w:p>
          <w:p w14:paraId="2B6FF74E" w14:textId="77777777" w:rsidR="0046089A" w:rsidRPr="00032B2E" w:rsidRDefault="0046089A" w:rsidP="0046089A">
            <w:pPr>
              <w:pStyle w:val="ListParagraph"/>
              <w:numPr>
                <w:ilvl w:val="0"/>
                <w:numId w:val="26"/>
              </w:numPr>
              <w:rPr>
                <w:rFonts w:ascii="Arial" w:hAnsi="Arial" w:cs="Arial"/>
                <w:sz w:val="22"/>
                <w:szCs w:val="22"/>
              </w:rPr>
            </w:pPr>
            <w:r w:rsidRPr="00032B2E">
              <w:rPr>
                <w:rFonts w:ascii="Arial" w:hAnsi="Arial" w:cs="Arial"/>
                <w:sz w:val="22"/>
                <w:szCs w:val="22"/>
              </w:rPr>
              <w:t xml:space="preserve">Focus on workforce issues arising from public service reform such as integration and devolution </w:t>
            </w:r>
          </w:p>
          <w:p w14:paraId="016F36A5" w14:textId="77777777" w:rsidR="0046089A" w:rsidRDefault="0046089A" w:rsidP="0046089A">
            <w:pPr>
              <w:pStyle w:val="PlainText"/>
              <w:numPr>
                <w:ilvl w:val="0"/>
                <w:numId w:val="26"/>
              </w:numPr>
            </w:pPr>
            <w:r>
              <w:t>Continue to provide support to councils to address skills gaps and skill shortages issues, focusing on apprenticeship take up/standards and skills shortages in social work and town planning for example</w:t>
            </w:r>
          </w:p>
          <w:p w14:paraId="228FFA1C" w14:textId="77777777" w:rsidR="0046089A" w:rsidRDefault="0046089A" w:rsidP="0046089A">
            <w:pPr>
              <w:pStyle w:val="PlainText"/>
              <w:numPr>
                <w:ilvl w:val="0"/>
                <w:numId w:val="26"/>
              </w:numPr>
            </w:pPr>
            <w:r>
              <w:t>Focus on support for councils needing to improve their HR services</w:t>
            </w:r>
          </w:p>
          <w:p w14:paraId="087AD76C" w14:textId="77777777" w:rsidR="0046089A" w:rsidRDefault="0046089A" w:rsidP="0046089A">
            <w:pPr>
              <w:pStyle w:val="PlainText"/>
              <w:numPr>
                <w:ilvl w:val="0"/>
                <w:numId w:val="26"/>
              </w:numPr>
            </w:pPr>
            <w:r>
              <w:t>Review and enhance our chargeable support offer</w:t>
            </w:r>
          </w:p>
          <w:p w14:paraId="6BA701A4" w14:textId="77777777" w:rsidR="0046089A" w:rsidRPr="008276A8" w:rsidRDefault="0046089A" w:rsidP="00896F67">
            <w:pPr>
              <w:pStyle w:val="PlainText"/>
              <w:rPr>
                <w:rFonts w:cs="Arial"/>
                <w:szCs w:val="22"/>
              </w:rPr>
            </w:pPr>
          </w:p>
        </w:tc>
      </w:tr>
    </w:tbl>
    <w:p w14:paraId="778EE526" w14:textId="77777777" w:rsidR="00053ED5" w:rsidRDefault="00053ED5"/>
    <w:tbl>
      <w:tblPr>
        <w:tblW w:w="9781" w:type="dxa"/>
        <w:tblCellMar>
          <w:left w:w="0" w:type="dxa"/>
          <w:right w:w="0" w:type="dxa"/>
        </w:tblCellMar>
        <w:tblLook w:val="04A0" w:firstRow="1" w:lastRow="0" w:firstColumn="1" w:lastColumn="0" w:noHBand="0" w:noVBand="1"/>
      </w:tblPr>
      <w:tblGrid>
        <w:gridCol w:w="2141"/>
        <w:gridCol w:w="7640"/>
      </w:tblGrid>
      <w:tr w:rsidR="00FA451C" w14:paraId="5B41C5DB" w14:textId="77777777" w:rsidTr="00720166">
        <w:tc>
          <w:tcPr>
            <w:tcW w:w="978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0723CC93" w14:textId="77777777" w:rsidR="00FA451C" w:rsidRPr="00FA451C" w:rsidRDefault="00FA451C">
            <w:pPr>
              <w:rPr>
                <w:rFonts w:ascii="Arial" w:hAnsi="Arial" w:cs="Arial"/>
                <w:sz w:val="22"/>
                <w:szCs w:val="22"/>
              </w:rPr>
            </w:pPr>
            <w:r w:rsidRPr="00FA451C">
              <w:rPr>
                <w:rFonts w:ascii="Arial" w:hAnsi="Arial" w:cs="Arial"/>
                <w:b/>
                <w:bCs/>
                <w:sz w:val="22"/>
              </w:rPr>
              <w:t xml:space="preserve">Work Stream: Local Government Finance </w:t>
            </w:r>
            <w:r w:rsidRPr="00FA451C">
              <w:rPr>
                <w:rFonts w:ascii="Arial" w:hAnsi="Arial" w:cs="Arial"/>
                <w:sz w:val="22"/>
              </w:rPr>
              <w:t> </w:t>
            </w:r>
          </w:p>
          <w:p w14:paraId="036BD7C8" w14:textId="77777777" w:rsidR="00FA451C" w:rsidRPr="00FA451C" w:rsidRDefault="00FA451C">
            <w:pPr>
              <w:rPr>
                <w:rFonts w:ascii="Arial" w:hAnsi="Arial" w:cs="Arial"/>
                <w:sz w:val="22"/>
              </w:rPr>
            </w:pPr>
          </w:p>
        </w:tc>
      </w:tr>
      <w:tr w:rsidR="00720166" w14:paraId="02FD5BD2" w14:textId="77777777" w:rsidTr="00896F67">
        <w:tc>
          <w:tcPr>
            <w:tcW w:w="214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550573A" w14:textId="77777777" w:rsidR="00720166" w:rsidRPr="00FA451C" w:rsidRDefault="00720166">
            <w:pPr>
              <w:rPr>
                <w:rFonts w:ascii="Arial" w:hAnsi="Arial" w:cs="Arial"/>
                <w:sz w:val="22"/>
              </w:rPr>
            </w:pPr>
            <w:r w:rsidRPr="00FA451C">
              <w:rPr>
                <w:rFonts w:ascii="Arial" w:hAnsi="Arial" w:cs="Arial"/>
                <w:sz w:val="22"/>
              </w:rPr>
              <w:t xml:space="preserve">Local Government Finance </w:t>
            </w: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EF86D" w14:textId="77777777" w:rsidR="00720166" w:rsidRPr="00FA451C" w:rsidRDefault="00720166">
            <w:pPr>
              <w:rPr>
                <w:rFonts w:ascii="Arial" w:hAnsi="Arial" w:cs="Arial"/>
                <w:sz w:val="22"/>
              </w:rPr>
            </w:pPr>
            <w:r w:rsidRPr="00FA451C">
              <w:rPr>
                <w:rFonts w:ascii="Arial" w:hAnsi="Arial" w:cs="Arial"/>
                <w:b/>
                <w:bCs/>
                <w:sz w:val="22"/>
              </w:rPr>
              <w:t>Business Rates Retention</w:t>
            </w:r>
            <w:r w:rsidRPr="00FA451C">
              <w:rPr>
                <w:rFonts w:ascii="Arial" w:hAnsi="Arial" w:cs="Arial"/>
                <w:sz w:val="22"/>
              </w:rPr>
              <w:t xml:space="preserve"> – a long term work programme looking at issues such as responsibilities to be transferred to be funded through business rates, designing the retention system, and the needs review to form the needs baseline that will underpin the system.  This work is also being considered by the Business Rates Task and Finish Group, Leadership Board and Executive.  This is the main priority for the work of the Local Government Finance Team.</w:t>
            </w:r>
          </w:p>
        </w:tc>
      </w:tr>
      <w:tr w:rsidR="00720166" w14:paraId="559AD8D5" w14:textId="77777777" w:rsidTr="00896F67">
        <w:tc>
          <w:tcPr>
            <w:tcW w:w="0" w:type="auto"/>
            <w:vMerge/>
            <w:tcBorders>
              <w:left w:val="single" w:sz="4" w:space="0" w:color="auto"/>
              <w:right w:val="single" w:sz="4" w:space="0" w:color="auto"/>
            </w:tcBorders>
            <w:vAlign w:val="center"/>
            <w:hideMark/>
          </w:tcPr>
          <w:p w14:paraId="4CB84242" w14:textId="77777777" w:rsidR="00720166" w:rsidRPr="00FA451C" w:rsidRDefault="0072016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2B5F2" w14:textId="77777777" w:rsidR="00720166" w:rsidRPr="00FA451C" w:rsidRDefault="00720166">
            <w:pPr>
              <w:rPr>
                <w:rFonts w:ascii="Arial" w:hAnsi="Arial" w:cs="Arial"/>
                <w:sz w:val="22"/>
              </w:rPr>
            </w:pPr>
            <w:r w:rsidRPr="00FA451C">
              <w:rPr>
                <w:rFonts w:ascii="Arial" w:hAnsi="Arial" w:cs="Arial"/>
                <w:b/>
                <w:bCs/>
                <w:sz w:val="22"/>
              </w:rPr>
              <w:t>Other Business Rates Issues</w:t>
            </w:r>
            <w:r w:rsidRPr="00FA451C">
              <w:rPr>
                <w:rFonts w:ascii="Arial" w:hAnsi="Arial" w:cs="Arial"/>
                <w:sz w:val="22"/>
              </w:rPr>
              <w:t xml:space="preserve"> – focussing, in the most part on, changes to the appeals system including: Check, Challenge and Appeal; digitalisation of valuation; and other issues such as flexibility around reliefs.  Given the impact of these changes on local authority income this work is a priority.</w:t>
            </w:r>
          </w:p>
        </w:tc>
      </w:tr>
      <w:tr w:rsidR="00720166" w14:paraId="20C09D5A" w14:textId="77777777" w:rsidTr="00896F67">
        <w:tc>
          <w:tcPr>
            <w:tcW w:w="0" w:type="auto"/>
            <w:vMerge/>
            <w:tcBorders>
              <w:left w:val="single" w:sz="4" w:space="0" w:color="auto"/>
              <w:right w:val="single" w:sz="4" w:space="0" w:color="auto"/>
            </w:tcBorders>
            <w:vAlign w:val="center"/>
            <w:hideMark/>
          </w:tcPr>
          <w:p w14:paraId="307D4E01" w14:textId="77777777" w:rsidR="00720166" w:rsidRPr="00FA451C" w:rsidRDefault="0072016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6420C" w14:textId="77777777" w:rsidR="00720166" w:rsidRPr="00FA451C" w:rsidRDefault="00720166">
            <w:pPr>
              <w:rPr>
                <w:rFonts w:ascii="Arial" w:hAnsi="Arial" w:cs="Arial"/>
                <w:sz w:val="22"/>
              </w:rPr>
            </w:pPr>
            <w:r w:rsidRPr="00FA451C">
              <w:rPr>
                <w:rFonts w:ascii="Arial" w:hAnsi="Arial" w:cs="Arial"/>
                <w:b/>
                <w:bCs/>
                <w:sz w:val="22"/>
              </w:rPr>
              <w:t xml:space="preserve">Local Government Finance Settlements </w:t>
            </w:r>
            <w:r w:rsidRPr="00FA451C">
              <w:rPr>
                <w:rFonts w:ascii="Arial" w:hAnsi="Arial" w:cs="Arial"/>
                <w:sz w:val="22"/>
              </w:rPr>
              <w:t>– analysis of the annual local government finance settlement, on the day briefing, responding to the consultation/s, parliamentary work and the annual finance conference.</w:t>
            </w:r>
          </w:p>
        </w:tc>
      </w:tr>
      <w:tr w:rsidR="00720166" w14:paraId="67CD4CE4" w14:textId="77777777" w:rsidTr="00896F67">
        <w:tc>
          <w:tcPr>
            <w:tcW w:w="0" w:type="auto"/>
            <w:vMerge/>
            <w:tcBorders>
              <w:left w:val="single" w:sz="4" w:space="0" w:color="auto"/>
              <w:right w:val="single" w:sz="4" w:space="0" w:color="auto"/>
            </w:tcBorders>
            <w:vAlign w:val="center"/>
            <w:hideMark/>
          </w:tcPr>
          <w:p w14:paraId="18615B1E" w14:textId="77777777" w:rsidR="00720166" w:rsidRPr="00FA451C" w:rsidRDefault="0072016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14412" w14:textId="77777777" w:rsidR="00720166" w:rsidRPr="00FA451C" w:rsidRDefault="00720166">
            <w:pPr>
              <w:rPr>
                <w:rFonts w:ascii="Arial" w:hAnsi="Arial" w:cs="Arial"/>
                <w:sz w:val="22"/>
              </w:rPr>
            </w:pPr>
            <w:r w:rsidRPr="00FA451C">
              <w:rPr>
                <w:rFonts w:ascii="Arial" w:hAnsi="Arial" w:cs="Arial"/>
                <w:b/>
                <w:bCs/>
                <w:sz w:val="22"/>
              </w:rPr>
              <w:t xml:space="preserve">Local Government Finance Contributions to set pieces: </w:t>
            </w:r>
            <w:r w:rsidRPr="00FA451C">
              <w:rPr>
                <w:rFonts w:ascii="Arial" w:hAnsi="Arial" w:cs="Arial"/>
                <w:sz w:val="22"/>
              </w:rPr>
              <w:t>Spending Reviews, contribution to Autumn Statement and Budget submissions.</w:t>
            </w:r>
          </w:p>
        </w:tc>
      </w:tr>
      <w:tr w:rsidR="00720166" w14:paraId="7A36975A" w14:textId="77777777" w:rsidTr="00720166">
        <w:trPr>
          <w:trHeight w:val="1497"/>
        </w:trPr>
        <w:tc>
          <w:tcPr>
            <w:tcW w:w="2141" w:type="dxa"/>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4A0BA550" w14:textId="3F8DDC1D" w:rsidR="00720166" w:rsidRPr="00FA451C" w:rsidRDefault="00720166">
            <w:pPr>
              <w:rPr>
                <w:rFonts w:ascii="Arial" w:hAnsi="Arial" w:cs="Arial"/>
                <w:sz w:val="22"/>
                <w:szCs w:val="22"/>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1C9C6" w14:textId="0E7BFCE9" w:rsidR="00720166" w:rsidRPr="00FA451C" w:rsidRDefault="00720166">
            <w:pPr>
              <w:rPr>
                <w:rFonts w:ascii="Arial" w:hAnsi="Arial" w:cs="Arial"/>
                <w:sz w:val="22"/>
              </w:rPr>
            </w:pPr>
            <w:r>
              <w:rPr>
                <w:rFonts w:ascii="Arial" w:hAnsi="Arial" w:cs="Arial"/>
                <w:b/>
                <w:bCs/>
              </w:rPr>
              <w:t>Capital Financing</w:t>
            </w:r>
            <w:r>
              <w:rPr>
                <w:rFonts w:ascii="Arial" w:hAnsi="Arial" w:cs="Arial"/>
              </w:rPr>
              <w:t xml:space="preserve"> - To influence thinking and formulate policy improvements to suggest to Government in the area of financing capital and infrastructure, and to contribute to national reviews of capital finance, including the forthcoming PAC hearing on the sustainability of local government capital finance</w:t>
            </w:r>
          </w:p>
        </w:tc>
      </w:tr>
    </w:tbl>
    <w:p w14:paraId="41137E18" w14:textId="77777777" w:rsidR="00053ED5" w:rsidRDefault="00053ED5"/>
    <w:p w14:paraId="23D937F6" w14:textId="77777777" w:rsidR="00053ED5" w:rsidRDefault="00053ED5"/>
    <w:tbl>
      <w:tblPr>
        <w:tblStyle w:val="TableGrid"/>
        <w:tblW w:w="9781" w:type="dxa"/>
        <w:tblLook w:val="04A0" w:firstRow="1" w:lastRow="0" w:firstColumn="1" w:lastColumn="0" w:noHBand="0" w:noVBand="1"/>
      </w:tblPr>
      <w:tblGrid>
        <w:gridCol w:w="2141"/>
        <w:gridCol w:w="7640"/>
      </w:tblGrid>
      <w:tr w:rsidR="0046089A" w:rsidRPr="008276A8" w14:paraId="71A29CF1" w14:textId="77777777" w:rsidTr="00896F67">
        <w:tc>
          <w:tcPr>
            <w:tcW w:w="9781" w:type="dxa"/>
            <w:gridSpan w:val="2"/>
            <w:shd w:val="clear" w:color="auto" w:fill="D9D9D9" w:themeFill="background1" w:themeFillShade="D9"/>
          </w:tcPr>
          <w:p w14:paraId="45520433" w14:textId="5846D944" w:rsidR="0046089A" w:rsidRPr="0046089A" w:rsidRDefault="0046089A" w:rsidP="00896F67">
            <w:pPr>
              <w:rPr>
                <w:rFonts w:ascii="Arial" w:eastAsia="Times New Roman" w:hAnsi="Arial" w:cs="Arial"/>
                <w:sz w:val="22"/>
                <w:szCs w:val="22"/>
                <w:lang w:eastAsia="en-GB"/>
              </w:rPr>
            </w:pPr>
            <w:r w:rsidRPr="0046089A">
              <w:rPr>
                <w:rFonts w:ascii="Arial" w:hAnsi="Arial" w:cs="Arial"/>
                <w:b/>
                <w:sz w:val="22"/>
                <w:szCs w:val="22"/>
              </w:rPr>
              <w:t>Work Stream</w:t>
            </w:r>
            <w:r w:rsidR="005A432E">
              <w:rPr>
                <w:rFonts w:ascii="Arial" w:hAnsi="Arial" w:cs="Arial"/>
                <w:b/>
                <w:sz w:val="22"/>
                <w:szCs w:val="22"/>
              </w:rPr>
              <w:t xml:space="preserve">: </w:t>
            </w:r>
            <w:r w:rsidR="00750641">
              <w:rPr>
                <w:rFonts w:ascii="Arial" w:hAnsi="Arial" w:cs="Arial"/>
                <w:b/>
                <w:sz w:val="22"/>
                <w:szCs w:val="22"/>
              </w:rPr>
              <w:t>Responding to issues arising from the referendum decision to leave the</w:t>
            </w:r>
            <w:r w:rsidRPr="0046089A">
              <w:rPr>
                <w:rFonts w:ascii="Arial" w:eastAsia="Times New Roman" w:hAnsi="Arial" w:cs="Arial"/>
                <w:b/>
                <w:sz w:val="22"/>
                <w:szCs w:val="22"/>
                <w:lang w:eastAsia="en-GB"/>
              </w:rPr>
              <w:t xml:space="preserve"> EU</w:t>
            </w:r>
          </w:p>
          <w:p w14:paraId="7677EBEB" w14:textId="77777777" w:rsidR="0046089A" w:rsidRPr="0046089A" w:rsidRDefault="0046089A" w:rsidP="00896F67">
            <w:pPr>
              <w:rPr>
                <w:rFonts w:ascii="Arial" w:hAnsi="Arial" w:cs="Arial"/>
                <w:sz w:val="22"/>
                <w:szCs w:val="22"/>
              </w:rPr>
            </w:pPr>
          </w:p>
        </w:tc>
      </w:tr>
      <w:tr w:rsidR="0046089A" w:rsidRPr="008276A8" w14:paraId="2B7F8594" w14:textId="77777777" w:rsidTr="00896F67">
        <w:trPr>
          <w:trHeight w:val="59"/>
        </w:trPr>
        <w:tc>
          <w:tcPr>
            <w:tcW w:w="2141" w:type="dxa"/>
          </w:tcPr>
          <w:p w14:paraId="066BAC16" w14:textId="77777777" w:rsidR="0046089A" w:rsidRPr="008276A8" w:rsidRDefault="0046089A" w:rsidP="00896F67">
            <w:pPr>
              <w:rPr>
                <w:rFonts w:ascii="Arial" w:hAnsi="Arial" w:cs="Arial"/>
                <w:sz w:val="22"/>
                <w:szCs w:val="22"/>
              </w:rPr>
            </w:pPr>
          </w:p>
        </w:tc>
        <w:tc>
          <w:tcPr>
            <w:tcW w:w="7640" w:type="dxa"/>
          </w:tcPr>
          <w:p w14:paraId="6BB57612" w14:textId="77777777" w:rsidR="0046089A" w:rsidRPr="00FA451C" w:rsidRDefault="0046089A" w:rsidP="00FA451C">
            <w:pPr>
              <w:widowControl w:val="0"/>
              <w:tabs>
                <w:tab w:val="left" w:pos="426"/>
              </w:tabs>
              <w:rPr>
                <w:rFonts w:ascii="Arial" w:eastAsia="Times New Roman" w:hAnsi="Arial" w:cs="Arial"/>
                <w:sz w:val="22"/>
                <w:szCs w:val="22"/>
                <w:lang w:eastAsia="en-GB"/>
              </w:rPr>
            </w:pPr>
            <w:r w:rsidRPr="00FA451C">
              <w:rPr>
                <w:rFonts w:ascii="Arial" w:hAnsi="Arial" w:cs="Arial"/>
                <w:sz w:val="22"/>
                <w:szCs w:val="22"/>
              </w:rPr>
              <w:t xml:space="preserve">Securing the current quantum of £5.3bn funding to English local areas up to 2020. </w:t>
            </w:r>
          </w:p>
        </w:tc>
      </w:tr>
      <w:tr w:rsidR="0046089A" w:rsidRPr="008276A8" w14:paraId="7E7BA4E0" w14:textId="77777777" w:rsidTr="00896F67">
        <w:trPr>
          <w:trHeight w:val="59"/>
        </w:trPr>
        <w:tc>
          <w:tcPr>
            <w:tcW w:w="2141" w:type="dxa"/>
          </w:tcPr>
          <w:p w14:paraId="56344E1D" w14:textId="77777777" w:rsidR="0046089A" w:rsidRPr="008276A8" w:rsidRDefault="0046089A" w:rsidP="00896F67">
            <w:pPr>
              <w:rPr>
                <w:rFonts w:ascii="Arial" w:hAnsi="Arial" w:cs="Arial"/>
                <w:sz w:val="22"/>
                <w:szCs w:val="22"/>
              </w:rPr>
            </w:pPr>
          </w:p>
        </w:tc>
        <w:tc>
          <w:tcPr>
            <w:tcW w:w="7640" w:type="dxa"/>
          </w:tcPr>
          <w:p w14:paraId="2FA59616" w14:textId="7C7909F5" w:rsidR="0046089A" w:rsidRPr="00FA451C" w:rsidRDefault="0046089A" w:rsidP="00FA451C">
            <w:pPr>
              <w:widowControl w:val="0"/>
              <w:tabs>
                <w:tab w:val="left" w:pos="426"/>
              </w:tabs>
              <w:rPr>
                <w:rFonts w:ascii="Arial" w:eastAsia="Times New Roman" w:hAnsi="Arial" w:cs="Arial"/>
                <w:sz w:val="22"/>
                <w:szCs w:val="22"/>
                <w:lang w:eastAsia="en-GB"/>
              </w:rPr>
            </w:pPr>
            <w:r w:rsidRPr="00FA451C">
              <w:rPr>
                <w:rFonts w:ascii="Arial" w:hAnsi="Arial" w:cs="Arial"/>
                <w:sz w:val="22"/>
                <w:szCs w:val="22"/>
              </w:rPr>
              <w:t>Resource Board contribution to</w:t>
            </w:r>
            <w:r w:rsidR="00750641">
              <w:rPr>
                <w:rFonts w:ascii="Arial" w:hAnsi="Arial" w:cs="Arial"/>
                <w:sz w:val="22"/>
                <w:szCs w:val="22"/>
              </w:rPr>
              <w:t xml:space="preserve"> review of regulations and </w:t>
            </w:r>
            <w:r w:rsidRPr="00FA451C">
              <w:rPr>
                <w:rFonts w:ascii="Arial" w:hAnsi="Arial" w:cs="Arial"/>
                <w:sz w:val="22"/>
                <w:szCs w:val="22"/>
              </w:rPr>
              <w:t xml:space="preserve"> technical issues</w:t>
            </w:r>
            <w:r w:rsidR="00AB094F">
              <w:rPr>
                <w:rFonts w:ascii="Arial" w:hAnsi="Arial" w:cs="Arial"/>
                <w:sz w:val="22"/>
                <w:szCs w:val="22"/>
              </w:rPr>
              <w:t xml:space="preserve"> and identification of</w:t>
            </w:r>
            <w:r w:rsidR="00750641">
              <w:rPr>
                <w:rFonts w:ascii="Arial" w:hAnsi="Arial" w:cs="Arial"/>
                <w:sz w:val="22"/>
                <w:szCs w:val="22"/>
              </w:rPr>
              <w:t xml:space="preserve"> priorities</w:t>
            </w:r>
            <w:r w:rsidRPr="00FA451C">
              <w:rPr>
                <w:rFonts w:ascii="Arial" w:hAnsi="Arial" w:cs="Arial"/>
                <w:sz w:val="22"/>
                <w:szCs w:val="22"/>
              </w:rPr>
              <w:t xml:space="preserve"> that we need on the table in the Brexit talks</w:t>
            </w:r>
            <w:r w:rsidR="00750641">
              <w:rPr>
                <w:rFonts w:ascii="Arial" w:hAnsi="Arial" w:cs="Arial"/>
                <w:sz w:val="22"/>
                <w:szCs w:val="22"/>
              </w:rPr>
              <w:t xml:space="preserve"> </w:t>
            </w:r>
          </w:p>
        </w:tc>
      </w:tr>
      <w:tr w:rsidR="0046089A" w:rsidRPr="008276A8" w14:paraId="1951399A" w14:textId="77777777" w:rsidTr="00896F67">
        <w:trPr>
          <w:trHeight w:val="59"/>
        </w:trPr>
        <w:tc>
          <w:tcPr>
            <w:tcW w:w="2141" w:type="dxa"/>
          </w:tcPr>
          <w:p w14:paraId="6871323D" w14:textId="77777777" w:rsidR="0046089A" w:rsidRPr="008276A8" w:rsidRDefault="0046089A" w:rsidP="00896F67">
            <w:pPr>
              <w:rPr>
                <w:rFonts w:ascii="Arial" w:hAnsi="Arial" w:cs="Arial"/>
                <w:sz w:val="22"/>
                <w:szCs w:val="22"/>
              </w:rPr>
            </w:pPr>
          </w:p>
        </w:tc>
        <w:tc>
          <w:tcPr>
            <w:tcW w:w="7640" w:type="dxa"/>
          </w:tcPr>
          <w:p w14:paraId="59A13A95" w14:textId="77777777" w:rsidR="0046089A" w:rsidRPr="00FA451C" w:rsidRDefault="0046089A" w:rsidP="00FA451C">
            <w:pPr>
              <w:widowControl w:val="0"/>
              <w:tabs>
                <w:tab w:val="left" w:pos="426"/>
              </w:tabs>
              <w:rPr>
                <w:rFonts w:ascii="Arial" w:eastAsia="Times New Roman" w:hAnsi="Arial" w:cs="Arial"/>
                <w:sz w:val="22"/>
                <w:szCs w:val="22"/>
                <w:lang w:eastAsia="en-GB"/>
              </w:rPr>
            </w:pPr>
            <w:r w:rsidRPr="00FA451C">
              <w:rPr>
                <w:rFonts w:ascii="Arial" w:hAnsi="Arial" w:cs="Arial"/>
                <w:sz w:val="22"/>
                <w:szCs w:val="22"/>
              </w:rPr>
              <w:t xml:space="preserve">Post-Brexit domestic regional aid, i.e. securing an equivalent of funding to English local areas beyond 2020. </w:t>
            </w:r>
          </w:p>
        </w:tc>
      </w:tr>
    </w:tbl>
    <w:p w14:paraId="56C6497E" w14:textId="77777777" w:rsidR="00053ED5" w:rsidRDefault="00053ED5"/>
    <w:p w14:paraId="5F4498A7" w14:textId="77777777" w:rsidR="00053ED5" w:rsidRDefault="00053ED5"/>
    <w:tbl>
      <w:tblPr>
        <w:tblStyle w:val="TableGrid"/>
        <w:tblW w:w="9781" w:type="dxa"/>
        <w:tblLook w:val="04A0" w:firstRow="1" w:lastRow="0" w:firstColumn="1" w:lastColumn="0" w:noHBand="0" w:noVBand="1"/>
      </w:tblPr>
      <w:tblGrid>
        <w:gridCol w:w="2141"/>
        <w:gridCol w:w="7640"/>
      </w:tblGrid>
      <w:tr w:rsidR="008276A8" w:rsidRPr="008276A8" w14:paraId="58014838" w14:textId="77777777" w:rsidTr="008276A8">
        <w:tc>
          <w:tcPr>
            <w:tcW w:w="9781" w:type="dxa"/>
            <w:gridSpan w:val="2"/>
            <w:shd w:val="clear" w:color="auto" w:fill="D9D9D9" w:themeFill="background1" w:themeFillShade="D9"/>
          </w:tcPr>
          <w:p w14:paraId="7461D946" w14:textId="63413709" w:rsidR="007B6FF0" w:rsidRPr="007B6FF0" w:rsidRDefault="008276A8" w:rsidP="00B5179F">
            <w:pPr>
              <w:rPr>
                <w:rFonts w:ascii="Arial" w:eastAsia="Times New Roman" w:hAnsi="Arial" w:cs="Arial"/>
                <w:b/>
                <w:sz w:val="22"/>
                <w:szCs w:val="22"/>
                <w:lang w:eastAsia="en-GB"/>
              </w:rPr>
            </w:pPr>
            <w:r w:rsidRPr="008276A8">
              <w:rPr>
                <w:rFonts w:ascii="Arial" w:hAnsi="Arial" w:cs="Arial"/>
                <w:b/>
                <w:sz w:val="22"/>
                <w:szCs w:val="22"/>
              </w:rPr>
              <w:t xml:space="preserve">Work Stream: </w:t>
            </w:r>
            <w:r w:rsidRPr="008276A8">
              <w:rPr>
                <w:rFonts w:ascii="Arial" w:eastAsia="Times New Roman" w:hAnsi="Arial" w:cs="Arial"/>
                <w:b/>
                <w:sz w:val="22"/>
                <w:szCs w:val="22"/>
                <w:lang w:eastAsia="en-GB"/>
              </w:rPr>
              <w:t xml:space="preserve">Welfare Reform </w:t>
            </w:r>
            <w:r w:rsidR="007B6FF0">
              <w:rPr>
                <w:rFonts w:ascii="Arial" w:eastAsia="Times New Roman" w:hAnsi="Arial" w:cs="Arial"/>
                <w:b/>
                <w:sz w:val="22"/>
                <w:szCs w:val="22"/>
                <w:lang w:eastAsia="en-GB"/>
              </w:rPr>
              <w:t>&amp; Life Chances</w:t>
            </w:r>
          </w:p>
          <w:p w14:paraId="24E3F380" w14:textId="77777777" w:rsidR="008276A8" w:rsidRPr="008276A8" w:rsidRDefault="008276A8" w:rsidP="00B5179F">
            <w:pPr>
              <w:rPr>
                <w:rFonts w:ascii="Arial" w:hAnsi="Arial" w:cs="Arial"/>
                <w:sz w:val="22"/>
                <w:szCs w:val="22"/>
              </w:rPr>
            </w:pPr>
          </w:p>
        </w:tc>
      </w:tr>
      <w:tr w:rsidR="007B6FF0" w:rsidRPr="008276A8" w14:paraId="5392FD09" w14:textId="77777777" w:rsidTr="008276A8">
        <w:tc>
          <w:tcPr>
            <w:tcW w:w="2141" w:type="dxa"/>
            <w:vMerge w:val="restart"/>
          </w:tcPr>
          <w:p w14:paraId="443C7A90" w14:textId="71AE2183" w:rsidR="007B6FF0" w:rsidRPr="008276A8" w:rsidRDefault="007B6FF0" w:rsidP="007B6FF0">
            <w:pPr>
              <w:rPr>
                <w:rFonts w:ascii="Arial" w:hAnsi="Arial" w:cs="Arial"/>
                <w:sz w:val="22"/>
                <w:szCs w:val="22"/>
              </w:rPr>
            </w:pPr>
          </w:p>
        </w:tc>
        <w:tc>
          <w:tcPr>
            <w:tcW w:w="7640" w:type="dxa"/>
          </w:tcPr>
          <w:p w14:paraId="5F36C791" w14:textId="4AA66670" w:rsidR="007B6FF0" w:rsidRPr="008276A8" w:rsidRDefault="007B6FF0" w:rsidP="007B6FF0">
            <w:pPr>
              <w:widowControl w:val="0"/>
              <w:tabs>
                <w:tab w:val="left" w:pos="426"/>
              </w:tabs>
              <w:rPr>
                <w:rFonts w:ascii="Arial" w:eastAsia="Times New Roman" w:hAnsi="Arial" w:cs="Arial"/>
                <w:sz w:val="22"/>
                <w:szCs w:val="22"/>
                <w:lang w:eastAsia="en-GB"/>
              </w:rPr>
            </w:pPr>
            <w:r w:rsidRPr="00C20310">
              <w:rPr>
                <w:rFonts w:ascii="Arial" w:hAnsi="Arial" w:cs="Arial"/>
              </w:rPr>
              <w:t>Research into the local impacts of continued welfare reform and Universal Credit roll-out (due to report Autumn 2016)</w:t>
            </w:r>
          </w:p>
        </w:tc>
      </w:tr>
      <w:tr w:rsidR="007B6FF0" w:rsidRPr="008276A8" w14:paraId="33EA2912" w14:textId="77777777" w:rsidTr="008276A8">
        <w:tc>
          <w:tcPr>
            <w:tcW w:w="2141" w:type="dxa"/>
            <w:vMerge/>
          </w:tcPr>
          <w:p w14:paraId="490229AC" w14:textId="60C749B7" w:rsidR="007B6FF0" w:rsidRPr="008276A8" w:rsidRDefault="007B6FF0" w:rsidP="007B6FF0">
            <w:pPr>
              <w:rPr>
                <w:rFonts w:ascii="Arial" w:hAnsi="Arial" w:cs="Arial"/>
                <w:sz w:val="22"/>
                <w:szCs w:val="22"/>
              </w:rPr>
            </w:pPr>
          </w:p>
        </w:tc>
        <w:tc>
          <w:tcPr>
            <w:tcW w:w="7640" w:type="dxa"/>
          </w:tcPr>
          <w:p w14:paraId="7305786F" w14:textId="6CB4C248" w:rsidR="007B6FF0" w:rsidRPr="008276A8" w:rsidRDefault="007B6FF0" w:rsidP="007B6FF0">
            <w:pPr>
              <w:widowControl w:val="0"/>
              <w:tabs>
                <w:tab w:val="left" w:pos="426"/>
              </w:tabs>
              <w:rPr>
                <w:rFonts w:ascii="Arial" w:eastAsia="Times New Roman" w:hAnsi="Arial" w:cs="Arial"/>
                <w:sz w:val="22"/>
                <w:szCs w:val="22"/>
                <w:lang w:eastAsia="en-GB"/>
              </w:rPr>
            </w:pPr>
            <w:r w:rsidRPr="00C20310">
              <w:rPr>
                <w:rFonts w:ascii="Arial" w:hAnsi="Arial" w:cs="Arial"/>
              </w:rPr>
              <w:t>Making the case for adequate and appropriate funding for the local safety net</w:t>
            </w:r>
          </w:p>
        </w:tc>
      </w:tr>
      <w:tr w:rsidR="007B6FF0" w:rsidRPr="008276A8" w14:paraId="44D6ACC6" w14:textId="77777777" w:rsidTr="008276A8">
        <w:tc>
          <w:tcPr>
            <w:tcW w:w="2141" w:type="dxa"/>
            <w:vMerge/>
          </w:tcPr>
          <w:p w14:paraId="39365D00" w14:textId="0736DD92" w:rsidR="007B6FF0" w:rsidRPr="008276A8" w:rsidRDefault="007B6FF0" w:rsidP="007B6FF0">
            <w:pPr>
              <w:rPr>
                <w:rFonts w:ascii="Arial" w:hAnsi="Arial" w:cs="Arial"/>
                <w:sz w:val="22"/>
                <w:szCs w:val="22"/>
              </w:rPr>
            </w:pPr>
          </w:p>
        </w:tc>
        <w:tc>
          <w:tcPr>
            <w:tcW w:w="7640" w:type="dxa"/>
          </w:tcPr>
          <w:p w14:paraId="759A8B15" w14:textId="6D8E3E10" w:rsidR="007B6FF0" w:rsidRPr="008276A8" w:rsidRDefault="007B6FF0" w:rsidP="007B6FF0">
            <w:pPr>
              <w:widowControl w:val="0"/>
              <w:tabs>
                <w:tab w:val="left" w:pos="426"/>
              </w:tabs>
              <w:rPr>
                <w:rFonts w:ascii="Arial" w:eastAsia="Times New Roman" w:hAnsi="Arial" w:cs="Arial"/>
                <w:sz w:val="22"/>
                <w:szCs w:val="22"/>
                <w:lang w:eastAsia="en-GB"/>
              </w:rPr>
            </w:pPr>
            <w:r w:rsidRPr="00C20310">
              <w:rPr>
                <w:rFonts w:ascii="Arial" w:hAnsi="Arial" w:cs="Arial"/>
              </w:rPr>
              <w:t>Homelessness prevention and housing affordability (in partnership with EEHT Board).  Developing a programme of lobbying and improvement work in response to the externally commissioned report.</w:t>
            </w:r>
          </w:p>
        </w:tc>
      </w:tr>
      <w:tr w:rsidR="007B6FF0" w:rsidRPr="008276A8" w14:paraId="02937B26" w14:textId="77777777" w:rsidTr="008276A8">
        <w:tc>
          <w:tcPr>
            <w:tcW w:w="2141" w:type="dxa"/>
            <w:vMerge/>
          </w:tcPr>
          <w:p w14:paraId="7AAF036A" w14:textId="77777777" w:rsidR="007B6FF0" w:rsidRPr="008276A8" w:rsidRDefault="007B6FF0" w:rsidP="007B6FF0">
            <w:pPr>
              <w:rPr>
                <w:rFonts w:ascii="Arial" w:hAnsi="Arial" w:cs="Arial"/>
                <w:sz w:val="22"/>
                <w:szCs w:val="22"/>
              </w:rPr>
            </w:pPr>
          </w:p>
        </w:tc>
        <w:tc>
          <w:tcPr>
            <w:tcW w:w="7640" w:type="dxa"/>
          </w:tcPr>
          <w:p w14:paraId="2722F165" w14:textId="04EFDA09" w:rsidR="007B6FF0" w:rsidRPr="008276A8" w:rsidRDefault="007B6FF0" w:rsidP="007B6FF0">
            <w:pPr>
              <w:widowControl w:val="0"/>
              <w:tabs>
                <w:tab w:val="left" w:pos="426"/>
              </w:tabs>
              <w:rPr>
                <w:rFonts w:ascii="Arial" w:eastAsia="Times New Roman" w:hAnsi="Arial" w:cs="Arial"/>
                <w:sz w:val="22"/>
                <w:szCs w:val="22"/>
                <w:lang w:eastAsia="en-GB"/>
              </w:rPr>
            </w:pPr>
            <w:r w:rsidRPr="00C20310">
              <w:rPr>
                <w:rFonts w:ascii="Arial" w:hAnsi="Arial" w:cs="Arial"/>
              </w:rPr>
              <w:t>Ongoing work on support for the most disadvantaged jobseekers (in partnership with Cities and P&amp;P Boards).  In particular devolution of funding to support the most disadvantaged jobseekers.</w:t>
            </w:r>
          </w:p>
        </w:tc>
      </w:tr>
      <w:tr w:rsidR="007B6FF0" w:rsidRPr="008276A8" w14:paraId="685D1B53" w14:textId="77777777" w:rsidTr="008276A8">
        <w:tc>
          <w:tcPr>
            <w:tcW w:w="2141" w:type="dxa"/>
            <w:vMerge/>
          </w:tcPr>
          <w:p w14:paraId="6EE810E8" w14:textId="14C719CA" w:rsidR="007B6FF0" w:rsidRPr="008276A8" w:rsidRDefault="007B6FF0" w:rsidP="007B6FF0">
            <w:pPr>
              <w:rPr>
                <w:rFonts w:ascii="Arial" w:hAnsi="Arial" w:cs="Arial"/>
                <w:sz w:val="22"/>
                <w:szCs w:val="22"/>
              </w:rPr>
            </w:pPr>
          </w:p>
        </w:tc>
        <w:tc>
          <w:tcPr>
            <w:tcW w:w="7640" w:type="dxa"/>
          </w:tcPr>
          <w:p w14:paraId="57DD85A6" w14:textId="008C463E" w:rsidR="007B6FF0" w:rsidRPr="008276A8" w:rsidRDefault="007B6FF0" w:rsidP="007B6FF0">
            <w:pPr>
              <w:widowControl w:val="0"/>
              <w:tabs>
                <w:tab w:val="left" w:pos="426"/>
              </w:tabs>
              <w:rPr>
                <w:rFonts w:ascii="Arial" w:eastAsia="Times New Roman" w:hAnsi="Arial" w:cs="Arial"/>
                <w:sz w:val="22"/>
                <w:szCs w:val="22"/>
                <w:lang w:eastAsia="en-GB"/>
              </w:rPr>
            </w:pPr>
            <w:r w:rsidRPr="00C20310">
              <w:rPr>
                <w:rFonts w:ascii="Arial" w:hAnsi="Arial" w:cs="Arial"/>
              </w:rPr>
              <w:t>Resourcing early intervention and support for families with (young) children (in partnership with CYP and CWB Boards)</w:t>
            </w:r>
          </w:p>
        </w:tc>
      </w:tr>
      <w:tr w:rsidR="007B6FF0" w:rsidRPr="008276A8" w14:paraId="6944609F" w14:textId="77777777" w:rsidTr="008276A8">
        <w:tc>
          <w:tcPr>
            <w:tcW w:w="2141" w:type="dxa"/>
            <w:vMerge/>
          </w:tcPr>
          <w:p w14:paraId="5F2C0D1B" w14:textId="77777777" w:rsidR="007B6FF0" w:rsidRPr="008276A8" w:rsidRDefault="007B6FF0" w:rsidP="007B6FF0">
            <w:pPr>
              <w:rPr>
                <w:rFonts w:ascii="Arial" w:hAnsi="Arial" w:cs="Arial"/>
                <w:sz w:val="22"/>
                <w:szCs w:val="22"/>
              </w:rPr>
            </w:pPr>
          </w:p>
        </w:tc>
        <w:tc>
          <w:tcPr>
            <w:tcW w:w="7640" w:type="dxa"/>
          </w:tcPr>
          <w:p w14:paraId="37FFBEB8" w14:textId="74256607" w:rsidR="007B6FF0" w:rsidRPr="007B6FF0" w:rsidRDefault="007B6FF0" w:rsidP="007B6FF0">
            <w:pPr>
              <w:rPr>
                <w:rFonts w:ascii="Arial" w:hAnsi="Arial" w:cs="Arial"/>
                <w:sz w:val="22"/>
                <w:szCs w:val="22"/>
              </w:rPr>
            </w:pPr>
            <w:r>
              <w:rPr>
                <w:rFonts w:ascii="Arial" w:hAnsi="Arial" w:cs="Arial"/>
              </w:rPr>
              <w:t>Intergenerational fairness (monitoring policy developments in relation to welfare and pensions)</w:t>
            </w:r>
          </w:p>
        </w:tc>
      </w:tr>
    </w:tbl>
    <w:p w14:paraId="56EE402E" w14:textId="77777777" w:rsidR="008276A8" w:rsidRPr="008276A8" w:rsidRDefault="008276A8" w:rsidP="008276A8">
      <w:pPr>
        <w:rPr>
          <w:rFonts w:ascii="Arial" w:hAnsi="Arial" w:cs="Arial"/>
          <w:sz w:val="22"/>
          <w:szCs w:val="22"/>
        </w:rPr>
      </w:pPr>
    </w:p>
    <w:p w14:paraId="0B19EA51" w14:textId="5562FA31" w:rsidR="00CA48F6" w:rsidRPr="004174C9" w:rsidRDefault="008E67AB" w:rsidP="00544CC3">
      <w:pPr>
        <w:widowControl w:val="0"/>
        <w:tabs>
          <w:tab w:val="left" w:pos="885"/>
        </w:tabs>
        <w:rPr>
          <w:rFonts w:ascii="Arial" w:hAnsi="Arial" w:cs="Arial"/>
          <w:b/>
          <w:sz w:val="22"/>
          <w:szCs w:val="22"/>
        </w:rPr>
      </w:pPr>
      <w:r>
        <w:rPr>
          <w:rFonts w:ascii="Arial" w:hAnsi="Arial" w:cs="Arial"/>
          <w:b/>
          <w:sz w:val="22"/>
          <w:szCs w:val="22"/>
        </w:rPr>
        <w:t xml:space="preserve">Board Member Champions for </w:t>
      </w:r>
      <w:r w:rsidR="008276A8">
        <w:rPr>
          <w:rFonts w:ascii="Arial" w:hAnsi="Arial" w:cs="Arial"/>
          <w:b/>
          <w:sz w:val="22"/>
          <w:szCs w:val="22"/>
        </w:rPr>
        <w:t xml:space="preserve">the Board’s </w:t>
      </w:r>
      <w:r w:rsidR="00CA48F6" w:rsidRPr="004174C9">
        <w:rPr>
          <w:rFonts w:ascii="Arial" w:hAnsi="Arial" w:cs="Arial"/>
          <w:b/>
          <w:sz w:val="22"/>
          <w:szCs w:val="22"/>
        </w:rPr>
        <w:t>work</w:t>
      </w:r>
    </w:p>
    <w:p w14:paraId="707E0BAB" w14:textId="29670B43" w:rsidR="00D01059" w:rsidRPr="004174C9" w:rsidRDefault="00D01059" w:rsidP="00447073">
      <w:pPr>
        <w:jc w:val="both"/>
        <w:rPr>
          <w:rFonts w:ascii="Arial" w:hAnsi="Arial" w:cs="Arial"/>
          <w:b/>
          <w:sz w:val="22"/>
          <w:szCs w:val="22"/>
          <w:u w:val="single"/>
        </w:rPr>
      </w:pPr>
    </w:p>
    <w:p w14:paraId="1592A9F9" w14:textId="57672162" w:rsidR="00CA5E5D" w:rsidRPr="00896F67" w:rsidRDefault="00CA5E5D" w:rsidP="00CA5E5D">
      <w:pPr>
        <w:pStyle w:val="ListParagraph"/>
        <w:widowControl w:val="0"/>
        <w:numPr>
          <w:ilvl w:val="0"/>
          <w:numId w:val="17"/>
        </w:numPr>
        <w:tabs>
          <w:tab w:val="left" w:pos="426"/>
        </w:tabs>
        <w:ind w:left="426" w:hanging="426"/>
        <w:rPr>
          <w:rFonts w:ascii="Arial" w:hAnsi="Arial" w:cs="Arial"/>
          <w:sz w:val="22"/>
          <w:szCs w:val="22"/>
        </w:rPr>
      </w:pPr>
      <w:r w:rsidRPr="00896F67">
        <w:rPr>
          <w:rFonts w:ascii="Arial" w:hAnsi="Arial" w:cs="Arial"/>
          <w:sz w:val="22"/>
          <w:szCs w:val="22"/>
        </w:rPr>
        <w:t xml:space="preserve">Last year, the Board trialled operating a system of Member Champion roles.  </w:t>
      </w:r>
      <w:r w:rsidR="008E67AB" w:rsidRPr="00896F67">
        <w:rPr>
          <w:rFonts w:ascii="Arial" w:hAnsi="Arial" w:cs="Arial"/>
          <w:sz w:val="22"/>
          <w:szCs w:val="22"/>
        </w:rPr>
        <w:t xml:space="preserve">Board member champions take responsibility for a specified subject area or programme and act as the spokesperson, with the assistance of officer support. </w:t>
      </w:r>
      <w:r w:rsidRPr="00896F67">
        <w:rPr>
          <w:rFonts w:ascii="Arial" w:hAnsi="Arial" w:cs="Arial"/>
          <w:sz w:val="22"/>
          <w:szCs w:val="22"/>
        </w:rPr>
        <w:t xml:space="preserve"> Whist this approach was not suited to all aspects of the Board’s work, feedback suggested it</w:t>
      </w:r>
      <w:r w:rsidR="004440FF" w:rsidRPr="00896F67">
        <w:rPr>
          <w:rFonts w:ascii="Arial" w:hAnsi="Arial" w:cs="Arial"/>
          <w:sz w:val="22"/>
          <w:szCs w:val="22"/>
        </w:rPr>
        <w:t xml:space="preserve"> had </w:t>
      </w:r>
      <w:r w:rsidRPr="00896F67">
        <w:rPr>
          <w:rFonts w:ascii="Arial" w:hAnsi="Arial" w:cs="Arial"/>
          <w:sz w:val="22"/>
          <w:szCs w:val="22"/>
        </w:rPr>
        <w:t xml:space="preserve">worked well in certain areas.  Lead Members have therefore identified a number of areas which they feel would benefit from greater member involvement. </w:t>
      </w:r>
    </w:p>
    <w:p w14:paraId="27C93021" w14:textId="6E1DA4A9" w:rsidR="002620F5" w:rsidRPr="00896F67" w:rsidRDefault="002620F5" w:rsidP="008E67AB">
      <w:pPr>
        <w:pStyle w:val="ListParagraph"/>
        <w:widowControl w:val="0"/>
        <w:tabs>
          <w:tab w:val="left" w:pos="426"/>
        </w:tabs>
        <w:rPr>
          <w:rFonts w:ascii="Arial" w:hAnsi="Arial" w:cs="Arial"/>
          <w:sz w:val="22"/>
          <w:szCs w:val="22"/>
        </w:rPr>
      </w:pPr>
    </w:p>
    <w:p w14:paraId="6C483D19" w14:textId="40554F4C" w:rsidR="002620F5" w:rsidRPr="00896F67" w:rsidRDefault="008E67AB" w:rsidP="002620F5">
      <w:pPr>
        <w:pStyle w:val="ListParagraph"/>
        <w:widowControl w:val="0"/>
        <w:numPr>
          <w:ilvl w:val="0"/>
          <w:numId w:val="17"/>
        </w:numPr>
        <w:tabs>
          <w:tab w:val="left" w:pos="426"/>
        </w:tabs>
        <w:ind w:left="426" w:hanging="426"/>
        <w:rPr>
          <w:rFonts w:ascii="Arial" w:hAnsi="Arial" w:cs="Arial"/>
          <w:sz w:val="22"/>
          <w:szCs w:val="22"/>
        </w:rPr>
      </w:pPr>
      <w:r w:rsidRPr="00896F67">
        <w:rPr>
          <w:rFonts w:ascii="Arial" w:hAnsi="Arial" w:cs="Arial"/>
          <w:sz w:val="22"/>
          <w:szCs w:val="22"/>
        </w:rPr>
        <w:t>The suggested Board champion roles are</w:t>
      </w:r>
      <w:r w:rsidR="00FA5BC3" w:rsidRPr="00896F67">
        <w:rPr>
          <w:rFonts w:ascii="Arial" w:hAnsi="Arial" w:cs="Arial"/>
          <w:sz w:val="22"/>
          <w:szCs w:val="22"/>
        </w:rPr>
        <w:t xml:space="preserve"> set out below, alongside those areas which Lead Members’ will be championing. Board Members are invited email </w:t>
      </w:r>
      <w:hyperlink r:id="rId12" w:history="1">
        <w:r w:rsidR="00FA5BC3" w:rsidRPr="00C00448">
          <w:rPr>
            <w:rStyle w:val="Hyperlink"/>
            <w:rFonts w:ascii="Arial" w:hAnsi="Arial" w:cs="Arial"/>
            <w:sz w:val="22"/>
            <w:szCs w:val="22"/>
          </w:rPr>
          <w:t>Ciarán.Whitehead@local.gov.uk</w:t>
        </w:r>
      </w:hyperlink>
      <w:r w:rsidR="00FA5BC3">
        <w:rPr>
          <w:rFonts w:ascii="Arial" w:hAnsi="Arial" w:cs="Arial"/>
          <w:color w:val="FF0000"/>
          <w:sz w:val="22"/>
          <w:szCs w:val="22"/>
        </w:rPr>
        <w:t xml:space="preserve"> </w:t>
      </w:r>
      <w:r w:rsidR="00FA5BC3" w:rsidRPr="00896F67">
        <w:rPr>
          <w:rFonts w:ascii="Arial" w:hAnsi="Arial" w:cs="Arial"/>
          <w:sz w:val="22"/>
          <w:szCs w:val="22"/>
        </w:rPr>
        <w:t xml:space="preserve">to express an interest undertaking any of the remaining roles.  Expressions of interests will be determined by Lead Members and in line with </w:t>
      </w:r>
      <w:r w:rsidR="00127A06" w:rsidRPr="00896F67">
        <w:rPr>
          <w:rFonts w:ascii="Arial" w:hAnsi="Arial" w:cs="Arial"/>
          <w:sz w:val="22"/>
          <w:szCs w:val="22"/>
        </w:rPr>
        <w:t xml:space="preserve">the LGA’s </w:t>
      </w:r>
      <w:r w:rsidR="00FA5BC3" w:rsidRPr="00896F67">
        <w:rPr>
          <w:rFonts w:ascii="Arial" w:hAnsi="Arial" w:cs="Arial"/>
          <w:sz w:val="22"/>
          <w:szCs w:val="22"/>
        </w:rPr>
        <w:t xml:space="preserve">political proportionality. </w:t>
      </w:r>
      <w:r w:rsidR="002620F5" w:rsidRPr="00896F67">
        <w:rPr>
          <w:rFonts w:ascii="Arial" w:hAnsi="Arial" w:cs="Arial"/>
          <w:sz w:val="22"/>
          <w:szCs w:val="22"/>
        </w:rPr>
        <w:t xml:space="preserve"> </w:t>
      </w:r>
    </w:p>
    <w:p w14:paraId="2A5CE37E" w14:textId="77777777" w:rsidR="002620F5" w:rsidRPr="00896F67" w:rsidRDefault="002620F5" w:rsidP="002620F5">
      <w:pPr>
        <w:rPr>
          <w:rFonts w:cs="Arial"/>
        </w:rPr>
      </w:pPr>
    </w:p>
    <w:p w14:paraId="4890128B" w14:textId="0434F2CD" w:rsidR="002620F5" w:rsidRPr="00896F67" w:rsidRDefault="00A52172" w:rsidP="001F036B">
      <w:pPr>
        <w:widowControl w:val="0"/>
        <w:tabs>
          <w:tab w:val="left" w:pos="426"/>
        </w:tabs>
        <w:spacing w:after="120"/>
        <w:ind w:left="1080"/>
        <w:rPr>
          <w:rFonts w:ascii="Arial" w:hAnsi="Arial" w:cs="Arial"/>
          <w:sz w:val="22"/>
          <w:szCs w:val="22"/>
        </w:rPr>
      </w:pPr>
      <w:r w:rsidRPr="00896F67">
        <w:rPr>
          <w:rFonts w:ascii="Arial" w:hAnsi="Arial" w:cs="Arial"/>
          <w:sz w:val="22"/>
          <w:szCs w:val="22"/>
        </w:rPr>
        <w:t>6</w:t>
      </w:r>
      <w:r w:rsidR="002620F5" w:rsidRPr="00896F67">
        <w:rPr>
          <w:rFonts w:ascii="Arial" w:hAnsi="Arial" w:cs="Arial"/>
          <w:sz w:val="22"/>
          <w:szCs w:val="22"/>
        </w:rPr>
        <w:t>.1 Local Government Finance</w:t>
      </w:r>
      <w:r w:rsidR="00321DCC">
        <w:rPr>
          <w:rFonts w:ascii="Arial" w:hAnsi="Arial" w:cs="Arial"/>
          <w:sz w:val="22"/>
          <w:szCs w:val="22"/>
        </w:rPr>
        <w:t xml:space="preserve"> (x2)</w:t>
      </w:r>
      <w:r w:rsidR="002620F5" w:rsidRPr="00896F67">
        <w:rPr>
          <w:rFonts w:ascii="Arial" w:hAnsi="Arial" w:cs="Arial"/>
          <w:sz w:val="22"/>
          <w:szCs w:val="22"/>
        </w:rPr>
        <w:tab/>
      </w:r>
    </w:p>
    <w:p w14:paraId="5A243A0F" w14:textId="5EAE4AA3" w:rsidR="002620F5" w:rsidRPr="00896F67" w:rsidRDefault="00A52172" w:rsidP="001F036B">
      <w:pPr>
        <w:widowControl w:val="0"/>
        <w:tabs>
          <w:tab w:val="left" w:pos="426"/>
        </w:tabs>
        <w:spacing w:after="120"/>
        <w:ind w:left="1080"/>
        <w:rPr>
          <w:rFonts w:ascii="Arial" w:hAnsi="Arial" w:cs="Arial"/>
          <w:sz w:val="22"/>
          <w:szCs w:val="22"/>
        </w:rPr>
      </w:pPr>
      <w:r w:rsidRPr="00896F67">
        <w:rPr>
          <w:rFonts w:ascii="Arial" w:hAnsi="Arial" w:cs="Arial"/>
          <w:sz w:val="22"/>
          <w:szCs w:val="22"/>
        </w:rPr>
        <w:t>6</w:t>
      </w:r>
      <w:r w:rsidR="002620F5" w:rsidRPr="00896F67">
        <w:rPr>
          <w:rFonts w:ascii="Arial" w:hAnsi="Arial" w:cs="Arial"/>
          <w:sz w:val="22"/>
          <w:szCs w:val="22"/>
        </w:rPr>
        <w:t xml:space="preserve">.2 </w:t>
      </w:r>
      <w:r w:rsidR="008E67AB" w:rsidRPr="00896F67">
        <w:rPr>
          <w:rFonts w:ascii="Arial" w:hAnsi="Arial" w:cs="Arial"/>
          <w:sz w:val="22"/>
          <w:szCs w:val="22"/>
        </w:rPr>
        <w:t>EU funding</w:t>
      </w:r>
      <w:r w:rsidR="002620F5" w:rsidRPr="00896F67">
        <w:rPr>
          <w:rFonts w:ascii="Arial" w:hAnsi="Arial" w:cs="Arial"/>
          <w:sz w:val="22"/>
          <w:szCs w:val="22"/>
        </w:rPr>
        <w:tab/>
      </w:r>
      <w:r w:rsidR="002620F5" w:rsidRPr="00896F67">
        <w:rPr>
          <w:rFonts w:ascii="Arial" w:hAnsi="Arial" w:cs="Arial"/>
          <w:sz w:val="22"/>
          <w:szCs w:val="22"/>
        </w:rPr>
        <w:tab/>
      </w:r>
      <w:r w:rsidR="002620F5" w:rsidRPr="00896F67">
        <w:rPr>
          <w:rFonts w:ascii="Arial" w:hAnsi="Arial" w:cs="Arial"/>
          <w:sz w:val="22"/>
          <w:szCs w:val="22"/>
        </w:rPr>
        <w:tab/>
        <w:t xml:space="preserve"> </w:t>
      </w:r>
    </w:p>
    <w:p w14:paraId="351FBC38" w14:textId="0BFEE1A2" w:rsidR="008E67AB" w:rsidRPr="00896F67" w:rsidRDefault="00A52172" w:rsidP="001F036B">
      <w:pPr>
        <w:widowControl w:val="0"/>
        <w:tabs>
          <w:tab w:val="left" w:pos="426"/>
        </w:tabs>
        <w:spacing w:after="120"/>
        <w:ind w:left="1080"/>
        <w:rPr>
          <w:rFonts w:ascii="Arial" w:hAnsi="Arial" w:cs="Arial"/>
          <w:sz w:val="22"/>
          <w:szCs w:val="22"/>
        </w:rPr>
      </w:pPr>
      <w:r w:rsidRPr="00896F67">
        <w:rPr>
          <w:rFonts w:ascii="Arial" w:hAnsi="Arial" w:cs="Arial"/>
          <w:sz w:val="22"/>
          <w:szCs w:val="22"/>
        </w:rPr>
        <w:t>6</w:t>
      </w:r>
      <w:r w:rsidR="002620F5" w:rsidRPr="00896F67">
        <w:rPr>
          <w:rFonts w:ascii="Arial" w:hAnsi="Arial" w:cs="Arial"/>
          <w:sz w:val="22"/>
          <w:szCs w:val="22"/>
        </w:rPr>
        <w:t>.3 Welfare Reform</w:t>
      </w:r>
      <w:r w:rsidR="002620F5" w:rsidRPr="00896F67">
        <w:rPr>
          <w:rFonts w:ascii="Arial" w:hAnsi="Arial" w:cs="Arial"/>
          <w:sz w:val="22"/>
          <w:szCs w:val="22"/>
        </w:rPr>
        <w:tab/>
      </w:r>
      <w:r w:rsidR="002620F5" w:rsidRPr="00896F67">
        <w:rPr>
          <w:rFonts w:ascii="Arial" w:hAnsi="Arial" w:cs="Arial"/>
          <w:sz w:val="22"/>
          <w:szCs w:val="22"/>
        </w:rPr>
        <w:tab/>
      </w:r>
    </w:p>
    <w:p w14:paraId="7859C9E1" w14:textId="6B41B5C8" w:rsidR="002620F5" w:rsidRPr="00896F67" w:rsidRDefault="00A52172" w:rsidP="001F036B">
      <w:pPr>
        <w:widowControl w:val="0"/>
        <w:tabs>
          <w:tab w:val="left" w:pos="426"/>
        </w:tabs>
        <w:spacing w:after="120"/>
        <w:ind w:left="1080"/>
        <w:rPr>
          <w:rFonts w:ascii="Arial" w:hAnsi="Arial" w:cs="Arial"/>
          <w:sz w:val="22"/>
          <w:szCs w:val="22"/>
        </w:rPr>
      </w:pPr>
      <w:r w:rsidRPr="00896F67">
        <w:rPr>
          <w:rFonts w:ascii="Arial" w:hAnsi="Arial" w:cs="Arial"/>
          <w:sz w:val="22"/>
          <w:szCs w:val="22"/>
        </w:rPr>
        <w:t>6</w:t>
      </w:r>
      <w:r w:rsidR="002620F5" w:rsidRPr="00896F67">
        <w:rPr>
          <w:rFonts w:ascii="Arial" w:hAnsi="Arial" w:cs="Arial"/>
          <w:sz w:val="22"/>
          <w:szCs w:val="22"/>
        </w:rPr>
        <w:t xml:space="preserve">.4 </w:t>
      </w:r>
      <w:r w:rsidR="008E67AB" w:rsidRPr="00896F67">
        <w:rPr>
          <w:rFonts w:ascii="Arial" w:hAnsi="Arial" w:cs="Arial"/>
          <w:sz w:val="22"/>
          <w:szCs w:val="22"/>
        </w:rPr>
        <w:t>Skills</w:t>
      </w:r>
      <w:r w:rsidR="002620F5" w:rsidRPr="00896F67">
        <w:rPr>
          <w:rFonts w:ascii="Arial" w:hAnsi="Arial" w:cs="Arial"/>
          <w:sz w:val="22"/>
          <w:szCs w:val="22"/>
        </w:rPr>
        <w:t xml:space="preserve"> </w:t>
      </w:r>
    </w:p>
    <w:p w14:paraId="78CDDD89" w14:textId="342FB426" w:rsidR="002D26A7" w:rsidRPr="00896F67" w:rsidRDefault="00A52172" w:rsidP="001F036B">
      <w:pPr>
        <w:spacing w:after="120"/>
        <w:ind w:left="360" w:firstLine="720"/>
        <w:rPr>
          <w:rFonts w:ascii="Arial" w:hAnsi="Arial" w:cs="Arial"/>
          <w:sz w:val="22"/>
          <w:szCs w:val="22"/>
        </w:rPr>
      </w:pPr>
      <w:r w:rsidRPr="00896F67">
        <w:rPr>
          <w:rFonts w:ascii="Arial" w:hAnsi="Arial" w:cs="Arial"/>
          <w:sz w:val="22"/>
          <w:szCs w:val="22"/>
        </w:rPr>
        <w:t>6</w:t>
      </w:r>
      <w:r w:rsidR="002620F5" w:rsidRPr="00896F67">
        <w:rPr>
          <w:rFonts w:ascii="Arial" w:hAnsi="Arial" w:cs="Arial"/>
          <w:sz w:val="22"/>
          <w:szCs w:val="22"/>
        </w:rPr>
        <w:t xml:space="preserve">.5 </w:t>
      </w:r>
      <w:r w:rsidR="008E67AB" w:rsidRPr="00896F67">
        <w:rPr>
          <w:rFonts w:ascii="Arial" w:hAnsi="Arial" w:cs="Arial"/>
          <w:sz w:val="22"/>
          <w:szCs w:val="22"/>
        </w:rPr>
        <w:t>Pensions</w:t>
      </w:r>
      <w:r w:rsidR="002620F5" w:rsidRPr="00896F67">
        <w:rPr>
          <w:rFonts w:ascii="Arial" w:hAnsi="Arial" w:cs="Arial"/>
          <w:sz w:val="22"/>
          <w:szCs w:val="22"/>
        </w:rPr>
        <w:tab/>
      </w:r>
      <w:r w:rsidR="007460B0" w:rsidRPr="00896F67">
        <w:rPr>
          <w:rFonts w:ascii="Arial" w:hAnsi="Arial" w:cs="Arial"/>
          <w:sz w:val="22"/>
          <w:szCs w:val="22"/>
        </w:rPr>
        <w:tab/>
      </w:r>
      <w:r w:rsidR="002620F5" w:rsidRPr="00896F67">
        <w:rPr>
          <w:rFonts w:ascii="Arial" w:hAnsi="Arial" w:cs="Arial"/>
          <w:sz w:val="22"/>
          <w:szCs w:val="22"/>
        </w:rPr>
        <w:tab/>
      </w:r>
      <w:r w:rsidR="002620F5" w:rsidRPr="00896F67">
        <w:rPr>
          <w:rFonts w:ascii="Arial" w:hAnsi="Arial" w:cs="Arial"/>
          <w:sz w:val="22"/>
          <w:szCs w:val="22"/>
        </w:rPr>
        <w:tab/>
      </w:r>
    </w:p>
    <w:p w14:paraId="1625C73E" w14:textId="59C522BF" w:rsidR="008E67AB" w:rsidRPr="00C24C0F" w:rsidRDefault="008E67AB" w:rsidP="008E67AB">
      <w:pPr>
        <w:ind w:left="360" w:firstLine="720"/>
        <w:rPr>
          <w:rFonts w:ascii="Arial" w:hAnsi="Arial" w:cs="Arial"/>
          <w:color w:val="FF0000"/>
          <w:sz w:val="22"/>
          <w:szCs w:val="22"/>
        </w:rPr>
      </w:pPr>
      <w:r w:rsidRPr="00C24C0F">
        <w:rPr>
          <w:rFonts w:ascii="Arial" w:hAnsi="Arial" w:cs="Arial"/>
          <w:color w:val="FF0000"/>
          <w:sz w:val="22"/>
          <w:szCs w:val="22"/>
        </w:rPr>
        <w:tab/>
      </w:r>
    </w:p>
    <w:p w14:paraId="2E25D3BD" w14:textId="77777777" w:rsidR="00D01059" w:rsidRPr="00332E23" w:rsidRDefault="00D01059" w:rsidP="00D01059">
      <w:pPr>
        <w:pStyle w:val="ListParagraph"/>
        <w:ind w:left="0"/>
        <w:rPr>
          <w:rFonts w:ascii="TT42ACo00" w:hAnsi="TT42ACo00" w:cs="TT42ACo00"/>
          <w:b/>
          <w:sz w:val="22"/>
          <w:szCs w:val="22"/>
        </w:rPr>
      </w:pPr>
      <w:r w:rsidRPr="00332E23">
        <w:rPr>
          <w:rFonts w:ascii="TT42ACo00" w:hAnsi="TT42ACo00" w:cs="TT42ACo00"/>
          <w:b/>
          <w:sz w:val="22"/>
          <w:szCs w:val="22"/>
        </w:rPr>
        <w:t>Financial implications</w:t>
      </w:r>
    </w:p>
    <w:p w14:paraId="7C38B3A7" w14:textId="77777777" w:rsidR="00D01059" w:rsidRPr="00332E23" w:rsidRDefault="00D01059" w:rsidP="00D01059">
      <w:pPr>
        <w:pStyle w:val="ListParagraph"/>
        <w:rPr>
          <w:rFonts w:ascii="TT42ACo00" w:hAnsi="TT42ACo00" w:cs="TT42ACo00"/>
          <w:sz w:val="22"/>
          <w:szCs w:val="22"/>
        </w:rPr>
      </w:pPr>
    </w:p>
    <w:p w14:paraId="24035021" w14:textId="2249F362" w:rsidR="00287D29" w:rsidRPr="001F036B" w:rsidRDefault="00D01059" w:rsidP="008A5E97">
      <w:pPr>
        <w:pStyle w:val="ListParagraph"/>
        <w:numPr>
          <w:ilvl w:val="0"/>
          <w:numId w:val="17"/>
        </w:numPr>
        <w:autoSpaceDE w:val="0"/>
        <w:autoSpaceDN w:val="0"/>
        <w:adjustRightInd w:val="0"/>
        <w:ind w:left="426" w:hanging="426"/>
        <w:rPr>
          <w:rFonts w:ascii="Arial" w:hAnsi="Arial" w:cs="Arial"/>
          <w:sz w:val="22"/>
          <w:szCs w:val="22"/>
        </w:rPr>
      </w:pPr>
      <w:r w:rsidRPr="001F036B">
        <w:rPr>
          <w:rFonts w:ascii="TT42ACo00" w:hAnsi="TT42ACo00" w:cs="TT42ACo00"/>
          <w:sz w:val="22"/>
          <w:szCs w:val="22"/>
        </w:rPr>
        <w:t>This programme of work will be delivered with existing resources. Additional supporting projects may be commissioned subject to funds being available from a small directorate / team budget.</w:t>
      </w:r>
      <w:bookmarkStart w:id="0" w:name="_GoBack"/>
      <w:bookmarkEnd w:id="0"/>
    </w:p>
    <w:sectPr w:rsidR="00287D29" w:rsidRPr="001F036B" w:rsidSect="00845B76">
      <w:headerReference w:type="default" r:id="rId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EA60" w14:textId="77777777" w:rsidR="00896F67" w:rsidRDefault="00896F67" w:rsidP="00E03D49">
      <w:r>
        <w:separator/>
      </w:r>
    </w:p>
  </w:endnote>
  <w:endnote w:type="continuationSeparator" w:id="0">
    <w:p w14:paraId="0B19EA61" w14:textId="77777777" w:rsidR="00896F67" w:rsidRDefault="00896F67"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T42A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EA5E" w14:textId="77777777" w:rsidR="00896F67" w:rsidRDefault="00896F67" w:rsidP="00E03D49">
      <w:r>
        <w:separator/>
      </w:r>
    </w:p>
  </w:footnote>
  <w:footnote w:type="continuationSeparator" w:id="0">
    <w:p w14:paraId="0B19EA5F" w14:textId="77777777" w:rsidR="00896F67" w:rsidRDefault="00896F67" w:rsidP="00E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225"/>
    </w:tblGrid>
    <w:tr w:rsidR="00896F67" w:rsidRPr="00C510DC" w14:paraId="0B19EA64" w14:textId="77777777" w:rsidTr="00764641">
      <w:tc>
        <w:tcPr>
          <w:tcW w:w="5778" w:type="dxa"/>
          <w:vMerge w:val="restart"/>
          <w:shd w:val="clear" w:color="auto" w:fill="auto"/>
        </w:tcPr>
        <w:p w14:paraId="0B19EA62" w14:textId="77777777" w:rsidR="00896F67" w:rsidRPr="00C510DC" w:rsidRDefault="00896F67" w:rsidP="00C510DC">
          <w:pPr>
            <w:tabs>
              <w:tab w:val="center" w:pos="2923"/>
            </w:tabs>
            <w:rPr>
              <w:rFonts w:ascii="Arial" w:hAnsi="Arial" w:cs="Arial"/>
              <w:sz w:val="22"/>
              <w:szCs w:val="22"/>
              <w:lang w:eastAsia="en-US"/>
            </w:rPr>
          </w:pPr>
          <w:r>
            <w:rPr>
              <w:rFonts w:ascii="Arial" w:hAnsi="Arial" w:cs="Arial"/>
              <w:noProof/>
              <w:sz w:val="22"/>
              <w:szCs w:val="22"/>
            </w:rPr>
            <w:drawing>
              <wp:inline distT="0" distB="0" distL="0" distR="0" wp14:anchorId="0B19EA6C" wp14:editId="0B19EA6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C510DC">
            <w:rPr>
              <w:rFonts w:ascii="Arial" w:hAnsi="Arial" w:cs="Arial"/>
              <w:sz w:val="22"/>
              <w:szCs w:val="22"/>
              <w:lang w:eastAsia="en-US"/>
            </w:rPr>
            <w:tab/>
          </w:r>
        </w:p>
      </w:tc>
      <w:tc>
        <w:tcPr>
          <w:tcW w:w="3225" w:type="dxa"/>
          <w:shd w:val="clear" w:color="auto" w:fill="auto"/>
        </w:tcPr>
        <w:p w14:paraId="63DBA97F" w14:textId="77777777" w:rsidR="00896F67" w:rsidRDefault="00896F67" w:rsidP="00C510DC">
          <w:pPr>
            <w:tabs>
              <w:tab w:val="center" w:pos="4153"/>
              <w:tab w:val="right" w:pos="8306"/>
            </w:tabs>
            <w:rPr>
              <w:rFonts w:ascii="Arial" w:hAnsi="Arial" w:cs="Arial"/>
              <w:b/>
              <w:sz w:val="22"/>
              <w:szCs w:val="22"/>
              <w:lang w:eastAsia="en-US"/>
            </w:rPr>
          </w:pPr>
        </w:p>
        <w:p w14:paraId="0B19EA63" w14:textId="1193F47D" w:rsidR="00896F67" w:rsidRPr="00C510DC" w:rsidRDefault="00896F67" w:rsidP="00C510DC">
          <w:pPr>
            <w:tabs>
              <w:tab w:val="center" w:pos="4153"/>
              <w:tab w:val="right" w:pos="8306"/>
            </w:tabs>
            <w:rPr>
              <w:rFonts w:ascii="Arial" w:hAnsi="Arial" w:cs="Arial"/>
              <w:b/>
              <w:sz w:val="22"/>
              <w:szCs w:val="22"/>
              <w:lang w:eastAsia="en-US"/>
            </w:rPr>
          </w:pPr>
          <w:r>
            <w:rPr>
              <w:rFonts w:ascii="Arial" w:hAnsi="Arial" w:cs="Arial"/>
              <w:b/>
              <w:sz w:val="22"/>
              <w:szCs w:val="22"/>
              <w:lang w:eastAsia="en-US"/>
            </w:rPr>
            <w:t>Resources Board</w:t>
          </w:r>
        </w:p>
      </w:tc>
    </w:tr>
    <w:tr w:rsidR="00896F67" w:rsidRPr="00C510DC" w14:paraId="0B19EA67" w14:textId="77777777" w:rsidTr="00764641">
      <w:trPr>
        <w:trHeight w:val="450"/>
      </w:trPr>
      <w:tc>
        <w:tcPr>
          <w:tcW w:w="5778" w:type="dxa"/>
          <w:vMerge/>
          <w:shd w:val="clear" w:color="auto" w:fill="auto"/>
        </w:tcPr>
        <w:p w14:paraId="0B19EA65" w14:textId="77777777" w:rsidR="00896F67" w:rsidRPr="00C510DC" w:rsidRDefault="00896F67"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6" w14:textId="35B57009" w:rsidR="00896F67" w:rsidRPr="00C510DC" w:rsidRDefault="00896F67" w:rsidP="00B5179F">
          <w:pPr>
            <w:tabs>
              <w:tab w:val="center" w:pos="4153"/>
              <w:tab w:val="right" w:pos="8306"/>
            </w:tabs>
            <w:spacing w:before="60"/>
            <w:rPr>
              <w:rFonts w:ascii="Arial" w:hAnsi="Arial" w:cs="Arial"/>
              <w:sz w:val="22"/>
              <w:szCs w:val="22"/>
              <w:lang w:eastAsia="en-US"/>
            </w:rPr>
          </w:pPr>
          <w:r>
            <w:rPr>
              <w:rFonts w:ascii="Arial" w:hAnsi="Arial" w:cs="Arial"/>
              <w:sz w:val="22"/>
              <w:szCs w:val="22"/>
              <w:lang w:eastAsia="en-US"/>
            </w:rPr>
            <w:t>23 September 2016</w:t>
          </w:r>
        </w:p>
      </w:tc>
    </w:tr>
    <w:tr w:rsidR="00896F67" w:rsidRPr="00C510DC" w14:paraId="0B19EA6A" w14:textId="77777777" w:rsidTr="00764641">
      <w:trPr>
        <w:trHeight w:val="450"/>
      </w:trPr>
      <w:tc>
        <w:tcPr>
          <w:tcW w:w="5778" w:type="dxa"/>
          <w:vMerge/>
          <w:shd w:val="clear" w:color="auto" w:fill="auto"/>
        </w:tcPr>
        <w:p w14:paraId="0B19EA68" w14:textId="77777777" w:rsidR="00896F67" w:rsidRPr="00C510DC" w:rsidRDefault="00896F67"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9" w14:textId="12C00499" w:rsidR="00896F67" w:rsidRPr="00C510DC" w:rsidRDefault="00896F67" w:rsidP="00C510DC">
          <w:pPr>
            <w:tabs>
              <w:tab w:val="center" w:pos="4153"/>
              <w:tab w:val="right" w:pos="8306"/>
            </w:tabs>
            <w:spacing w:before="60"/>
            <w:rPr>
              <w:rFonts w:ascii="Arial" w:hAnsi="Arial" w:cs="Arial"/>
              <w:b/>
              <w:sz w:val="22"/>
              <w:szCs w:val="22"/>
              <w:lang w:eastAsia="en-US"/>
            </w:rPr>
          </w:pPr>
        </w:p>
      </w:tc>
    </w:tr>
  </w:tbl>
  <w:p w14:paraId="0B19EA6B" w14:textId="77777777" w:rsidR="00896F67" w:rsidRDefault="00896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5E"/>
    <w:multiLevelType w:val="hybridMultilevel"/>
    <w:tmpl w:val="6D1C499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0E6D"/>
    <w:multiLevelType w:val="hybridMultilevel"/>
    <w:tmpl w:val="E3D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7EBE"/>
    <w:multiLevelType w:val="hybridMultilevel"/>
    <w:tmpl w:val="10420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F4311"/>
    <w:multiLevelType w:val="multilevel"/>
    <w:tmpl w:val="E83CD1B6"/>
    <w:numStyleLink w:val="Style1"/>
  </w:abstractNum>
  <w:abstractNum w:abstractNumId="6" w15:restartNumberingAfterBreak="0">
    <w:nsid w:val="157A2812"/>
    <w:multiLevelType w:val="hybridMultilevel"/>
    <w:tmpl w:val="0D725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68D50FA"/>
    <w:multiLevelType w:val="multilevel"/>
    <w:tmpl w:val="B954569C"/>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907"/>
        </w:tabs>
        <w:ind w:left="1134" w:hanging="283"/>
      </w:pPr>
      <w:rPr>
        <w:b w:val="0"/>
        <w:sz w:val="22"/>
        <w:szCs w:val="22"/>
      </w:rPr>
    </w:lvl>
    <w:lvl w:ilvl="2">
      <w:start w:val="1"/>
      <w:numFmt w:val="bullet"/>
      <w:lvlText w:val=""/>
      <w:lvlJc w:val="left"/>
      <w:pPr>
        <w:tabs>
          <w:tab w:val="num" w:pos="1572"/>
        </w:tabs>
        <w:ind w:left="1572" w:hanging="720"/>
      </w:pPr>
      <w:rPr>
        <w:rFonts w:ascii="Symbol" w:hAnsi="Symbol" w:hint="default"/>
        <w:sz w:val="22"/>
      </w:rPr>
    </w:lvl>
    <w:lvl w:ilvl="3">
      <w:start w:val="1"/>
      <w:numFmt w:val="decimal"/>
      <w:isLgl/>
      <w:lvlText w:val="%1.%2.%3.%4"/>
      <w:lvlJc w:val="left"/>
      <w:pPr>
        <w:tabs>
          <w:tab w:val="num" w:pos="2358"/>
        </w:tabs>
        <w:ind w:left="2358" w:hanging="1080"/>
      </w:pPr>
      <w:rPr>
        <w:sz w:val="22"/>
        <w:szCs w:val="22"/>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8" w15:restartNumberingAfterBreak="0">
    <w:nsid w:val="18FD53D4"/>
    <w:multiLevelType w:val="multilevel"/>
    <w:tmpl w:val="5A1A1E4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B861716"/>
    <w:multiLevelType w:val="hybridMultilevel"/>
    <w:tmpl w:val="00AC0716"/>
    <w:lvl w:ilvl="0" w:tplc="B352D48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069A6"/>
    <w:multiLevelType w:val="multilevel"/>
    <w:tmpl w:val="E83CD1B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06E9F"/>
    <w:multiLevelType w:val="hybridMultilevel"/>
    <w:tmpl w:val="3F8C3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4145EB"/>
    <w:multiLevelType w:val="multilevel"/>
    <w:tmpl w:val="2E32A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AF54ECF"/>
    <w:multiLevelType w:val="hybridMultilevel"/>
    <w:tmpl w:val="4E9C0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973AE"/>
    <w:multiLevelType w:val="hybridMultilevel"/>
    <w:tmpl w:val="756C4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44F9A"/>
    <w:multiLevelType w:val="multilevel"/>
    <w:tmpl w:val="975638DE"/>
    <w:lvl w:ilvl="0">
      <w:start w:val="1"/>
      <w:numFmt w:val="decimal"/>
      <w:lvlText w:val="%1."/>
      <w:lvlJc w:val="left"/>
      <w:pPr>
        <w:ind w:left="360" w:hanging="360"/>
      </w:pPr>
      <w:rPr>
        <w:rFonts w:hint="default"/>
        <w:b w:val="0"/>
        <w:i w:val="0"/>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22" w15:restartNumberingAfterBreak="0">
    <w:nsid w:val="650C4A60"/>
    <w:multiLevelType w:val="hybridMultilevel"/>
    <w:tmpl w:val="04E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9695E"/>
    <w:multiLevelType w:val="multilevel"/>
    <w:tmpl w:val="4EDE075A"/>
    <w:lvl w:ilvl="0">
      <w:start w:val="1"/>
      <w:numFmt w:val="decimal"/>
      <w:lvlText w:val="%1."/>
      <w:lvlJc w:val="left"/>
      <w:pPr>
        <w:ind w:left="502"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24"/>
  </w:num>
  <w:num w:numId="5">
    <w:abstractNumId w:val="10"/>
  </w:num>
  <w:num w:numId="6">
    <w:abstractNumId w:val="12"/>
  </w:num>
  <w:num w:numId="7">
    <w:abstractNumId w:val="16"/>
  </w:num>
  <w:num w:numId="8">
    <w:abstractNumId w:val="21"/>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9"/>
  </w:num>
  <w:num w:numId="17">
    <w:abstractNumId w:val="18"/>
  </w:num>
  <w:num w:numId="18">
    <w:abstractNumId w:val="14"/>
  </w:num>
  <w:num w:numId="19">
    <w:abstractNumId w:val="8"/>
  </w:num>
  <w:num w:numId="20">
    <w:abstractNumId w:val="0"/>
  </w:num>
  <w:num w:numId="21">
    <w:abstractNumId w:val="15"/>
  </w:num>
  <w:num w:numId="22">
    <w:abstractNumId w:val="4"/>
  </w:num>
  <w:num w:numId="23">
    <w:abstractNumId w:val="11"/>
  </w:num>
  <w:num w:numId="24">
    <w:abstractNumId w:val="5"/>
  </w:num>
  <w:num w:numId="25">
    <w:abstractNumId w:val="22"/>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4A"/>
    <w:rsid w:val="000005DA"/>
    <w:rsid w:val="00017D28"/>
    <w:rsid w:val="00033C2A"/>
    <w:rsid w:val="00041C33"/>
    <w:rsid w:val="00042853"/>
    <w:rsid w:val="00053ED5"/>
    <w:rsid w:val="00084A00"/>
    <w:rsid w:val="000B1B55"/>
    <w:rsid w:val="000B1F60"/>
    <w:rsid w:val="000C2503"/>
    <w:rsid w:val="000C6044"/>
    <w:rsid w:val="000D1463"/>
    <w:rsid w:val="000D730B"/>
    <w:rsid w:val="000F63C6"/>
    <w:rsid w:val="0010094A"/>
    <w:rsid w:val="001106DA"/>
    <w:rsid w:val="00127A06"/>
    <w:rsid w:val="00170695"/>
    <w:rsid w:val="001C3969"/>
    <w:rsid w:val="001F036B"/>
    <w:rsid w:val="001F7568"/>
    <w:rsid w:val="002159C1"/>
    <w:rsid w:val="002620F5"/>
    <w:rsid w:val="002674A1"/>
    <w:rsid w:val="00274D72"/>
    <w:rsid w:val="00276D17"/>
    <w:rsid w:val="00287D29"/>
    <w:rsid w:val="00292A62"/>
    <w:rsid w:val="002B505E"/>
    <w:rsid w:val="002C6491"/>
    <w:rsid w:val="002D26A7"/>
    <w:rsid w:val="002D6A5B"/>
    <w:rsid w:val="002E529A"/>
    <w:rsid w:val="0030104C"/>
    <w:rsid w:val="00321DCC"/>
    <w:rsid w:val="00323E5E"/>
    <w:rsid w:val="0034074C"/>
    <w:rsid w:val="00342CB8"/>
    <w:rsid w:val="00374769"/>
    <w:rsid w:val="00375103"/>
    <w:rsid w:val="00383F27"/>
    <w:rsid w:val="00391761"/>
    <w:rsid w:val="0039607E"/>
    <w:rsid w:val="003A350B"/>
    <w:rsid w:val="003B11BF"/>
    <w:rsid w:val="003F5AE9"/>
    <w:rsid w:val="004174C9"/>
    <w:rsid w:val="004217A9"/>
    <w:rsid w:val="004301D6"/>
    <w:rsid w:val="004440FF"/>
    <w:rsid w:val="00447073"/>
    <w:rsid w:val="00447B1A"/>
    <w:rsid w:val="004602FA"/>
    <w:rsid w:val="0046089A"/>
    <w:rsid w:val="0048617F"/>
    <w:rsid w:val="004877CC"/>
    <w:rsid w:val="004B0CCA"/>
    <w:rsid w:val="004B3971"/>
    <w:rsid w:val="004D57A0"/>
    <w:rsid w:val="00534B79"/>
    <w:rsid w:val="00544CC3"/>
    <w:rsid w:val="00547310"/>
    <w:rsid w:val="00573596"/>
    <w:rsid w:val="00582AF2"/>
    <w:rsid w:val="00585CED"/>
    <w:rsid w:val="005A15C7"/>
    <w:rsid w:val="005A432E"/>
    <w:rsid w:val="005D184D"/>
    <w:rsid w:val="005D3799"/>
    <w:rsid w:val="0061785E"/>
    <w:rsid w:val="00637526"/>
    <w:rsid w:val="00672ACD"/>
    <w:rsid w:val="00675F48"/>
    <w:rsid w:val="0068095A"/>
    <w:rsid w:val="006B4C6D"/>
    <w:rsid w:val="006E0A80"/>
    <w:rsid w:val="006E7CBC"/>
    <w:rsid w:val="006F05E9"/>
    <w:rsid w:val="00700F0E"/>
    <w:rsid w:val="00704140"/>
    <w:rsid w:val="00705FE4"/>
    <w:rsid w:val="00710812"/>
    <w:rsid w:val="00720166"/>
    <w:rsid w:val="007322D4"/>
    <w:rsid w:val="00742F53"/>
    <w:rsid w:val="007460B0"/>
    <w:rsid w:val="00750641"/>
    <w:rsid w:val="00752BF0"/>
    <w:rsid w:val="0076405B"/>
    <w:rsid w:val="00764641"/>
    <w:rsid w:val="007714D5"/>
    <w:rsid w:val="007807BE"/>
    <w:rsid w:val="00783ADB"/>
    <w:rsid w:val="00797EF5"/>
    <w:rsid w:val="007B6A3F"/>
    <w:rsid w:val="007B6FF0"/>
    <w:rsid w:val="007C2A65"/>
    <w:rsid w:val="007E7C7B"/>
    <w:rsid w:val="007F313D"/>
    <w:rsid w:val="007F7F97"/>
    <w:rsid w:val="008116D8"/>
    <w:rsid w:val="008276A8"/>
    <w:rsid w:val="0083003F"/>
    <w:rsid w:val="0083549C"/>
    <w:rsid w:val="008402D5"/>
    <w:rsid w:val="00841BEC"/>
    <w:rsid w:val="00845B76"/>
    <w:rsid w:val="00852887"/>
    <w:rsid w:val="00876053"/>
    <w:rsid w:val="00896F67"/>
    <w:rsid w:val="008B4F92"/>
    <w:rsid w:val="008D4F2A"/>
    <w:rsid w:val="008E67AB"/>
    <w:rsid w:val="008F171C"/>
    <w:rsid w:val="009204C4"/>
    <w:rsid w:val="009336A5"/>
    <w:rsid w:val="00957B45"/>
    <w:rsid w:val="00984046"/>
    <w:rsid w:val="00990DD9"/>
    <w:rsid w:val="009C0C45"/>
    <w:rsid w:val="009E6F0F"/>
    <w:rsid w:val="009E7C7D"/>
    <w:rsid w:val="00A01109"/>
    <w:rsid w:val="00A06A56"/>
    <w:rsid w:val="00A166E3"/>
    <w:rsid w:val="00A3625E"/>
    <w:rsid w:val="00A52172"/>
    <w:rsid w:val="00A72C2F"/>
    <w:rsid w:val="00A75B22"/>
    <w:rsid w:val="00AB094F"/>
    <w:rsid w:val="00AC35DC"/>
    <w:rsid w:val="00B36141"/>
    <w:rsid w:val="00B40D60"/>
    <w:rsid w:val="00B5179F"/>
    <w:rsid w:val="00B52DF1"/>
    <w:rsid w:val="00B62E74"/>
    <w:rsid w:val="00B91BD7"/>
    <w:rsid w:val="00BA080B"/>
    <w:rsid w:val="00BC41D3"/>
    <w:rsid w:val="00BD14CE"/>
    <w:rsid w:val="00BD1AD4"/>
    <w:rsid w:val="00BD1BD4"/>
    <w:rsid w:val="00BD6D6E"/>
    <w:rsid w:val="00BE7822"/>
    <w:rsid w:val="00BF6E08"/>
    <w:rsid w:val="00C2494B"/>
    <w:rsid w:val="00C24C0F"/>
    <w:rsid w:val="00C510DC"/>
    <w:rsid w:val="00C87C14"/>
    <w:rsid w:val="00C97DBA"/>
    <w:rsid w:val="00CA3B2F"/>
    <w:rsid w:val="00CA48F6"/>
    <w:rsid w:val="00CA5E5D"/>
    <w:rsid w:val="00CC38E2"/>
    <w:rsid w:val="00CE48E8"/>
    <w:rsid w:val="00D01059"/>
    <w:rsid w:val="00D162A1"/>
    <w:rsid w:val="00D4064F"/>
    <w:rsid w:val="00D42673"/>
    <w:rsid w:val="00D55D5A"/>
    <w:rsid w:val="00D70535"/>
    <w:rsid w:val="00D757B7"/>
    <w:rsid w:val="00D80ECD"/>
    <w:rsid w:val="00D82510"/>
    <w:rsid w:val="00D826DF"/>
    <w:rsid w:val="00D90DDB"/>
    <w:rsid w:val="00DA343A"/>
    <w:rsid w:val="00DB3C17"/>
    <w:rsid w:val="00DD4044"/>
    <w:rsid w:val="00DE2234"/>
    <w:rsid w:val="00DF6334"/>
    <w:rsid w:val="00E00CF6"/>
    <w:rsid w:val="00E03D49"/>
    <w:rsid w:val="00E23785"/>
    <w:rsid w:val="00E4191A"/>
    <w:rsid w:val="00E478E5"/>
    <w:rsid w:val="00E53993"/>
    <w:rsid w:val="00E55D59"/>
    <w:rsid w:val="00E620EE"/>
    <w:rsid w:val="00E76B2F"/>
    <w:rsid w:val="00E96526"/>
    <w:rsid w:val="00EA5973"/>
    <w:rsid w:val="00ED30F1"/>
    <w:rsid w:val="00EE21D6"/>
    <w:rsid w:val="00F12D61"/>
    <w:rsid w:val="00F256BD"/>
    <w:rsid w:val="00F42FD5"/>
    <w:rsid w:val="00F52C77"/>
    <w:rsid w:val="00F66BE6"/>
    <w:rsid w:val="00F9173D"/>
    <w:rsid w:val="00FA33CE"/>
    <w:rsid w:val="00FA451C"/>
    <w:rsid w:val="00FA5BC3"/>
    <w:rsid w:val="00FB6BC9"/>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19EA0D"/>
  <w15:docId w15:val="{DF8EE84E-78FC-4377-B392-FC90C5C0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 w:type="table" w:styleId="TableGrid">
    <w:name w:val="Table Grid"/>
    <w:basedOn w:val="TableNormal"/>
    <w:uiPriority w:val="59"/>
    <w:rsid w:val="00827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1059"/>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D01059"/>
    <w:rPr>
      <w:rFonts w:ascii="Arial" w:eastAsiaTheme="minorHAnsi" w:hAnsi="Arial" w:cs="Consolas"/>
      <w:sz w:val="22"/>
      <w:szCs w:val="21"/>
      <w:lang w:eastAsia="en-US"/>
    </w:rPr>
  </w:style>
  <w:style w:type="numbering" w:customStyle="1" w:styleId="Style1">
    <w:name w:val="Style1"/>
    <w:uiPriority w:val="99"/>
    <w:rsid w:val="0046089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9132">
      <w:bodyDiv w:val="1"/>
      <w:marLeft w:val="0"/>
      <w:marRight w:val="0"/>
      <w:marTop w:val="0"/>
      <w:marBottom w:val="0"/>
      <w:divBdr>
        <w:top w:val="none" w:sz="0" w:space="0" w:color="auto"/>
        <w:left w:val="none" w:sz="0" w:space="0" w:color="auto"/>
        <w:bottom w:val="none" w:sz="0" w:space="0" w:color="auto"/>
        <w:right w:val="none" w:sz="0" w:space="0" w:color="auto"/>
      </w:divBdr>
    </w:div>
    <w:div w:id="494688533">
      <w:bodyDiv w:val="1"/>
      <w:marLeft w:val="0"/>
      <w:marRight w:val="0"/>
      <w:marTop w:val="0"/>
      <w:marBottom w:val="0"/>
      <w:divBdr>
        <w:top w:val="none" w:sz="0" w:space="0" w:color="auto"/>
        <w:left w:val="none" w:sz="0" w:space="0" w:color="auto"/>
        <w:bottom w:val="none" w:sz="0" w:space="0" w:color="auto"/>
        <w:right w:val="none" w:sz="0" w:space="0" w:color="auto"/>
      </w:divBdr>
    </w:div>
    <w:div w:id="659426726">
      <w:bodyDiv w:val="1"/>
      <w:marLeft w:val="0"/>
      <w:marRight w:val="0"/>
      <w:marTop w:val="0"/>
      <w:marBottom w:val="0"/>
      <w:divBdr>
        <w:top w:val="none" w:sz="0" w:space="0" w:color="auto"/>
        <w:left w:val="none" w:sz="0" w:space="0" w:color="auto"/>
        <w:bottom w:val="none" w:sz="0" w:space="0" w:color="auto"/>
        <w:right w:val="none" w:sz="0" w:space="0" w:color="auto"/>
      </w:divBdr>
    </w:div>
    <w:div w:id="735859658">
      <w:bodyDiv w:val="1"/>
      <w:marLeft w:val="0"/>
      <w:marRight w:val="0"/>
      <w:marTop w:val="0"/>
      <w:marBottom w:val="0"/>
      <w:divBdr>
        <w:top w:val="none" w:sz="0" w:space="0" w:color="auto"/>
        <w:left w:val="none" w:sz="0" w:space="0" w:color="auto"/>
        <w:bottom w:val="none" w:sz="0" w:space="0" w:color="auto"/>
        <w:right w:val="none" w:sz="0" w:space="0" w:color="auto"/>
      </w:divBdr>
    </w:div>
    <w:div w:id="934247580">
      <w:bodyDiv w:val="1"/>
      <w:marLeft w:val="0"/>
      <w:marRight w:val="0"/>
      <w:marTop w:val="0"/>
      <w:marBottom w:val="0"/>
      <w:divBdr>
        <w:top w:val="none" w:sz="0" w:space="0" w:color="auto"/>
        <w:left w:val="none" w:sz="0" w:space="0" w:color="auto"/>
        <w:bottom w:val="none" w:sz="0" w:space="0" w:color="auto"/>
        <w:right w:val="none" w:sz="0" w:space="0" w:color="auto"/>
      </w:divBdr>
    </w:div>
    <w:div w:id="938760615">
      <w:bodyDiv w:val="1"/>
      <w:marLeft w:val="0"/>
      <w:marRight w:val="0"/>
      <w:marTop w:val="0"/>
      <w:marBottom w:val="0"/>
      <w:divBdr>
        <w:top w:val="none" w:sz="0" w:space="0" w:color="auto"/>
        <w:left w:val="none" w:sz="0" w:space="0" w:color="auto"/>
        <w:bottom w:val="none" w:sz="0" w:space="0" w:color="auto"/>
        <w:right w:val="none" w:sz="0" w:space="0" w:color="auto"/>
      </w:divBdr>
    </w:div>
    <w:div w:id="1158571725">
      <w:bodyDiv w:val="1"/>
      <w:marLeft w:val="0"/>
      <w:marRight w:val="0"/>
      <w:marTop w:val="0"/>
      <w:marBottom w:val="0"/>
      <w:divBdr>
        <w:top w:val="none" w:sz="0" w:space="0" w:color="auto"/>
        <w:left w:val="none" w:sz="0" w:space="0" w:color="auto"/>
        <w:bottom w:val="none" w:sz="0" w:space="0" w:color="auto"/>
        <w:right w:val="none" w:sz="0" w:space="0" w:color="auto"/>
      </w:divBdr>
    </w:div>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751464987">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865048">
      <w:bodyDiv w:val="1"/>
      <w:marLeft w:val="0"/>
      <w:marRight w:val="0"/>
      <w:marTop w:val="0"/>
      <w:marBottom w:val="0"/>
      <w:divBdr>
        <w:top w:val="none" w:sz="0" w:space="0" w:color="auto"/>
        <w:left w:val="none" w:sz="0" w:space="0" w:color="auto"/>
        <w:bottom w:val="none" w:sz="0" w:space="0" w:color="auto"/>
        <w:right w:val="none" w:sz="0" w:space="0" w:color="auto"/>
      </w:divBdr>
    </w:div>
    <w:div w:id="20139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ar&#225;n.Whitehead@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C372B467C794D98A244C807443814" ma:contentTypeVersion="0" ma:contentTypeDescription="Create a new document." ma:contentTypeScope="" ma:versionID="21a0f498c2b2e0ad76be74f54472073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F9A3-D416-4C25-8A51-B5AA64705D6B}">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FE57E5-3F88-47E4-9BBB-82FFF642A3DE}">
  <ds:schemaRefs>
    <ds:schemaRef ds:uri="http://schemas.microsoft.com/sharepoint/v3/contenttype/forms"/>
  </ds:schemaRefs>
</ds:datastoreItem>
</file>

<file path=customXml/itemProps3.xml><?xml version="1.0" encoding="utf-8"?>
<ds:datastoreItem xmlns:ds="http://schemas.openxmlformats.org/officeDocument/2006/customXml" ds:itemID="{CCC0B259-3447-42E4-B4DB-5262D34D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50CA48-77AE-4291-AC27-80C556E9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E3CC87C0</Template>
  <TotalTime>25</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Hughes</dc:creator>
  <cp:lastModifiedBy>Ciaran Whitehead</cp:lastModifiedBy>
  <cp:revision>8</cp:revision>
  <cp:lastPrinted>2013-09-27T11:08:00Z</cp:lastPrinted>
  <dcterms:created xsi:type="dcterms:W3CDTF">2016-09-09T08:11:00Z</dcterms:created>
  <dcterms:modified xsi:type="dcterms:W3CDTF">2016-09-16T16:29:00Z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IH</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2013-09-27T00:00:00Z</vt:lpwstr>
  </property>
  <property fmtid="{D5CDD505-2E9C-101B-9397-08002B2CF9AE}" pid="10" name="e-GMS.subject.keyword">
    <vt:lpwstr>Eurpean and International Affairs Panel,</vt:lpwstr>
  </property>
  <property fmtid="{D5CDD505-2E9C-101B-9397-08002B2CF9AE}" pid="11" name="Date">
    <vt:lpwstr>2013-09-27T00:00:00Z</vt:lpwstr>
  </property>
  <property fmtid="{D5CDD505-2E9C-101B-9397-08002B2CF9AE}" pid="12" name="Title">
    <vt:lpwstr>Item 1 - Resources Board, Membership, Priorities and Work Programme DONE</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0x0101000F5C372B467C794D98A244C807443814</vt:lpwstr>
  </property>
</Properties>
</file>